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7070831"/>
    <w:bookmarkEnd w:id="0"/>
    <w:p w14:paraId="55477D8E" w14:textId="2333D0B5" w:rsidR="00DD666C" w:rsidRPr="005B76A0" w:rsidRDefault="00DE70FA" w:rsidP="0029670C">
      <w:pPr>
        <w:spacing w:line="360" w:lineRule="auto"/>
        <w:contextualSpacing/>
        <w:jc w:val="center"/>
        <w:rPr>
          <w:b/>
          <w:sz w:val="32"/>
          <w:szCs w:val="32"/>
        </w:rPr>
      </w:pPr>
      <w:r>
        <w:rPr>
          <w:b/>
          <w:sz w:val="32"/>
          <w:szCs w:val="32"/>
        </w:rPr>
        <w:fldChar w:fldCharType="begin"/>
      </w:r>
      <w:r>
        <w:rPr>
          <w:b/>
          <w:sz w:val="32"/>
          <w:szCs w:val="32"/>
        </w:rPr>
        <w:instrText xml:space="preserve"> MACROBUTTON MTEditEquationSection2 </w:instrText>
      </w:r>
      <w:r w:rsidRPr="006819FD">
        <w:rPr>
          <w:rStyle w:val="MTEquationSection"/>
          <w:rFonts w:hint="eastAsia"/>
        </w:rPr>
        <w:instrText>公式章</w:instrText>
      </w:r>
      <w:r w:rsidRPr="006819FD">
        <w:rPr>
          <w:rStyle w:val="MTEquationSection"/>
        </w:rPr>
        <w:instrText xml:space="preserve"> 1 </w:instrText>
      </w:r>
      <w:r w:rsidRPr="006819FD">
        <w:rPr>
          <w:rStyle w:val="MTEquationSection"/>
          <w:rFonts w:hint="eastAsia"/>
        </w:rPr>
        <w:instrText>节</w:instrText>
      </w:r>
      <w:r w:rsidRPr="006819FD">
        <w:rPr>
          <w:rStyle w:val="MTEquationSection"/>
        </w:rPr>
        <w:instrText xml:space="preserve"> 1</w:instrText>
      </w:r>
      <w:r>
        <w:rPr>
          <w:b/>
          <w:sz w:val="32"/>
          <w:szCs w:val="32"/>
        </w:rPr>
        <w:fldChar w:fldCharType="begin"/>
      </w:r>
      <w:r>
        <w:rPr>
          <w:b/>
          <w:sz w:val="32"/>
          <w:szCs w:val="32"/>
        </w:rPr>
        <w:instrText xml:space="preserve"> </w:instrText>
      </w:r>
      <w:r>
        <w:rPr>
          <w:rFonts w:hint="eastAsia"/>
          <w:b/>
          <w:sz w:val="32"/>
          <w:szCs w:val="32"/>
        </w:rPr>
        <w:instrText>SEQ MTEqn \r \h \* MERGEFORMAT</w:instrText>
      </w:r>
      <w:r>
        <w:rPr>
          <w:b/>
          <w:sz w:val="32"/>
          <w:szCs w:val="32"/>
        </w:rPr>
        <w:instrText xml:space="preserve"> </w:instrText>
      </w:r>
      <w:r>
        <w:rPr>
          <w:b/>
          <w:sz w:val="32"/>
          <w:szCs w:val="32"/>
        </w:rPr>
        <w:fldChar w:fldCharType="end"/>
      </w:r>
      <w:r>
        <w:rPr>
          <w:b/>
          <w:sz w:val="32"/>
          <w:szCs w:val="32"/>
        </w:rPr>
        <w:fldChar w:fldCharType="begin"/>
      </w:r>
      <w:r>
        <w:rPr>
          <w:b/>
          <w:sz w:val="32"/>
          <w:szCs w:val="32"/>
        </w:rPr>
        <w:instrText xml:space="preserve"> SEQ MTSec \r 1 \h \* MERGEFORMAT </w:instrText>
      </w:r>
      <w:r>
        <w:rPr>
          <w:b/>
          <w:sz w:val="32"/>
          <w:szCs w:val="32"/>
        </w:rPr>
        <w:fldChar w:fldCharType="end"/>
      </w:r>
      <w:r>
        <w:rPr>
          <w:b/>
          <w:sz w:val="32"/>
          <w:szCs w:val="32"/>
        </w:rPr>
        <w:fldChar w:fldCharType="begin"/>
      </w:r>
      <w:r>
        <w:rPr>
          <w:b/>
          <w:sz w:val="32"/>
          <w:szCs w:val="32"/>
        </w:rPr>
        <w:instrText xml:space="preserve"> SEQ MTChap \r 1 \h \* MERGEFORMAT </w:instrText>
      </w:r>
      <w:r>
        <w:rPr>
          <w:b/>
          <w:sz w:val="32"/>
          <w:szCs w:val="32"/>
        </w:rPr>
        <w:fldChar w:fldCharType="end"/>
      </w:r>
      <w:r>
        <w:rPr>
          <w:b/>
          <w:sz w:val="32"/>
          <w:szCs w:val="32"/>
        </w:rPr>
        <w:fldChar w:fldCharType="end"/>
      </w:r>
      <w:r w:rsidR="00084B34" w:rsidRPr="005B76A0">
        <w:rPr>
          <w:b/>
          <w:sz w:val="32"/>
          <w:szCs w:val="32"/>
        </w:rPr>
        <w:t>《</w:t>
      </w:r>
      <w:r w:rsidR="0029670C">
        <w:rPr>
          <w:rFonts w:hint="eastAsia"/>
          <w:b/>
          <w:sz w:val="32"/>
          <w:szCs w:val="32"/>
        </w:rPr>
        <w:t>温室气体</w:t>
      </w:r>
      <w:r w:rsidR="0029670C">
        <w:rPr>
          <w:rFonts w:hint="eastAsia"/>
          <w:b/>
          <w:sz w:val="32"/>
          <w:szCs w:val="32"/>
        </w:rPr>
        <w:t xml:space="preserve"> </w:t>
      </w:r>
      <w:r w:rsidR="0029670C">
        <w:rPr>
          <w:rFonts w:hint="eastAsia"/>
          <w:b/>
          <w:sz w:val="32"/>
          <w:szCs w:val="32"/>
        </w:rPr>
        <w:t>产品碳足迹量化方法与要求</w:t>
      </w:r>
      <w:r w:rsidR="0029670C">
        <w:rPr>
          <w:rFonts w:hint="eastAsia"/>
          <w:b/>
          <w:sz w:val="32"/>
          <w:szCs w:val="32"/>
        </w:rPr>
        <w:t xml:space="preserve"> </w:t>
      </w:r>
      <w:r w:rsidR="00F04F8F">
        <w:rPr>
          <w:rFonts w:hint="eastAsia"/>
          <w:b/>
          <w:sz w:val="32"/>
          <w:szCs w:val="32"/>
        </w:rPr>
        <w:t>食品接触用金属容器</w:t>
      </w:r>
      <w:r w:rsidR="0029670C">
        <w:rPr>
          <w:rFonts w:hint="eastAsia"/>
          <w:b/>
          <w:sz w:val="32"/>
          <w:szCs w:val="32"/>
        </w:rPr>
        <w:t>（含盖）</w:t>
      </w:r>
      <w:r w:rsidR="00084B34" w:rsidRPr="005B76A0">
        <w:rPr>
          <w:b/>
          <w:sz w:val="32"/>
          <w:szCs w:val="32"/>
        </w:rPr>
        <w:t>》</w:t>
      </w:r>
      <w:r w:rsidR="00084B34" w:rsidRPr="005B76A0">
        <w:rPr>
          <w:rFonts w:hint="eastAsia"/>
          <w:b/>
          <w:sz w:val="32"/>
          <w:szCs w:val="32"/>
        </w:rPr>
        <w:t>团体</w:t>
      </w:r>
      <w:r w:rsidR="00084B34" w:rsidRPr="005B76A0">
        <w:rPr>
          <w:b/>
          <w:sz w:val="32"/>
          <w:szCs w:val="32"/>
        </w:rPr>
        <w:t>标准编制说明</w:t>
      </w:r>
    </w:p>
    <w:p w14:paraId="32A89A16" w14:textId="486A6BC2" w:rsidR="00DD666C" w:rsidRPr="005B76A0" w:rsidRDefault="00084B34">
      <w:pPr>
        <w:spacing w:line="360" w:lineRule="auto"/>
        <w:ind w:firstLine="482"/>
        <w:contextualSpacing/>
        <w:jc w:val="center"/>
        <w:rPr>
          <w:b/>
          <w:sz w:val="32"/>
          <w:szCs w:val="32"/>
        </w:rPr>
      </w:pPr>
      <w:r w:rsidRPr="005B76A0">
        <w:rPr>
          <w:rFonts w:hint="eastAsia"/>
          <w:b/>
          <w:sz w:val="28"/>
          <w:szCs w:val="28"/>
        </w:rPr>
        <w:t>（</w:t>
      </w:r>
      <w:r w:rsidR="005B3DEF">
        <w:rPr>
          <w:rFonts w:hint="eastAsia"/>
          <w:b/>
          <w:sz w:val="28"/>
          <w:szCs w:val="28"/>
        </w:rPr>
        <w:t>征求意见</w:t>
      </w:r>
      <w:r w:rsidRPr="005B76A0">
        <w:rPr>
          <w:rFonts w:hint="eastAsia"/>
          <w:b/>
          <w:sz w:val="28"/>
          <w:szCs w:val="28"/>
        </w:rPr>
        <w:t>稿）</w:t>
      </w:r>
    </w:p>
    <w:p w14:paraId="092C0E3E" w14:textId="77777777" w:rsidR="00DD666C" w:rsidRPr="005B76A0" w:rsidRDefault="00084B34" w:rsidP="00646FC3">
      <w:pPr>
        <w:pStyle w:val="1"/>
        <w:rPr>
          <w:rFonts w:hint="eastAsia"/>
        </w:rPr>
      </w:pPr>
      <w:r w:rsidRPr="005B76A0">
        <w:t>一、工作简况</w:t>
      </w:r>
    </w:p>
    <w:p w14:paraId="7A2B289A" w14:textId="0F4F40C2" w:rsidR="00DD666C" w:rsidRPr="005B76A0" w:rsidRDefault="00084B34" w:rsidP="00646FC3">
      <w:pPr>
        <w:pStyle w:val="2"/>
      </w:pPr>
      <w:r w:rsidRPr="005B76A0">
        <w:t>1</w:t>
      </w:r>
      <w:r w:rsidRPr="005B76A0">
        <w:t>、任务来源</w:t>
      </w:r>
      <w:r w:rsidR="00F04F8F">
        <w:rPr>
          <w:rFonts w:hint="eastAsia"/>
        </w:rPr>
        <w:t xml:space="preserve"> </w:t>
      </w:r>
    </w:p>
    <w:p w14:paraId="027984CE" w14:textId="77777777" w:rsidR="00694781" w:rsidRDefault="00694781">
      <w:pPr>
        <w:spacing w:line="360" w:lineRule="auto"/>
        <w:ind w:firstLine="480"/>
        <w:contextualSpacing/>
        <w:rPr>
          <w:sz w:val="24"/>
        </w:rPr>
      </w:pPr>
      <w:r w:rsidRPr="00694781">
        <w:rPr>
          <w:rFonts w:hint="eastAsia"/>
          <w:sz w:val="24"/>
        </w:rPr>
        <w:t>2023</w:t>
      </w:r>
      <w:r w:rsidRPr="00694781">
        <w:rPr>
          <w:rFonts w:hint="eastAsia"/>
          <w:sz w:val="24"/>
        </w:rPr>
        <w:t>年</w:t>
      </w:r>
      <w:r w:rsidRPr="00694781">
        <w:rPr>
          <w:rFonts w:hint="eastAsia"/>
          <w:sz w:val="24"/>
        </w:rPr>
        <w:t>11</w:t>
      </w:r>
      <w:r w:rsidRPr="00694781">
        <w:rPr>
          <w:rFonts w:hint="eastAsia"/>
          <w:sz w:val="24"/>
        </w:rPr>
        <w:t>月，国家发展改革委等五部门联合发布《关于加快建立产品碳足迹管理体系的意见》（发改环资〔</w:t>
      </w:r>
      <w:r w:rsidRPr="00694781">
        <w:rPr>
          <w:rFonts w:hint="eastAsia"/>
          <w:sz w:val="24"/>
        </w:rPr>
        <w:t>2023</w:t>
      </w:r>
      <w:r w:rsidRPr="00694781">
        <w:rPr>
          <w:rFonts w:hint="eastAsia"/>
          <w:sz w:val="24"/>
        </w:rPr>
        <w:t>〕</w:t>
      </w:r>
      <w:r w:rsidRPr="00694781">
        <w:rPr>
          <w:rFonts w:hint="eastAsia"/>
          <w:sz w:val="24"/>
        </w:rPr>
        <w:t>1529</w:t>
      </w:r>
      <w:r w:rsidRPr="00694781">
        <w:rPr>
          <w:rFonts w:hint="eastAsia"/>
          <w:sz w:val="24"/>
        </w:rPr>
        <w:t>号），提出“推动建立符合国情实际的产品碳足迹管理体系，完善重点产品碳足迹核算方法规则和标准体系”，明确“到</w:t>
      </w:r>
      <w:r w:rsidRPr="00694781">
        <w:rPr>
          <w:rFonts w:hint="eastAsia"/>
          <w:sz w:val="24"/>
        </w:rPr>
        <w:t>2025</w:t>
      </w:r>
      <w:r w:rsidRPr="00694781">
        <w:rPr>
          <w:rFonts w:hint="eastAsia"/>
          <w:sz w:val="24"/>
        </w:rPr>
        <w:t>年，国家层面出台</w:t>
      </w:r>
      <w:r w:rsidRPr="00694781">
        <w:rPr>
          <w:rFonts w:hint="eastAsia"/>
          <w:sz w:val="24"/>
        </w:rPr>
        <w:t>50</w:t>
      </w:r>
      <w:r w:rsidRPr="00694781">
        <w:rPr>
          <w:rFonts w:hint="eastAsia"/>
          <w:sz w:val="24"/>
        </w:rPr>
        <w:t>个左右重点产品碳足迹核算规则和标准”、“到</w:t>
      </w:r>
      <w:r w:rsidRPr="00694781">
        <w:rPr>
          <w:rFonts w:hint="eastAsia"/>
          <w:sz w:val="24"/>
        </w:rPr>
        <w:t>2030</w:t>
      </w:r>
      <w:r w:rsidRPr="00694781">
        <w:rPr>
          <w:rFonts w:hint="eastAsia"/>
          <w:sz w:val="24"/>
        </w:rPr>
        <w:t>年，国家层面出台</w:t>
      </w:r>
      <w:r w:rsidRPr="00694781">
        <w:rPr>
          <w:rFonts w:hint="eastAsia"/>
          <w:sz w:val="24"/>
        </w:rPr>
        <w:t>200</w:t>
      </w:r>
      <w:r w:rsidRPr="00694781">
        <w:rPr>
          <w:rFonts w:hint="eastAsia"/>
          <w:sz w:val="24"/>
        </w:rPr>
        <w:t>个左右重点产品碳足迹核算规则和标准”的主要目标。</w:t>
      </w:r>
    </w:p>
    <w:p w14:paraId="710F00E1" w14:textId="60A1E450" w:rsidR="00DD666C" w:rsidRPr="005B76A0" w:rsidRDefault="00084B34">
      <w:pPr>
        <w:spacing w:line="360" w:lineRule="auto"/>
        <w:ind w:firstLine="480"/>
        <w:contextualSpacing/>
        <w:rPr>
          <w:sz w:val="24"/>
        </w:rPr>
      </w:pPr>
      <w:r w:rsidRPr="005B76A0">
        <w:rPr>
          <w:sz w:val="24"/>
        </w:rPr>
        <w:t>根据</w:t>
      </w:r>
      <w:r w:rsidRPr="005B76A0">
        <w:rPr>
          <w:sz w:val="24"/>
        </w:rPr>
        <w:t>202</w:t>
      </w:r>
      <w:r w:rsidR="00F04F8F">
        <w:rPr>
          <w:rFonts w:hint="eastAsia"/>
          <w:sz w:val="24"/>
        </w:rPr>
        <w:t>4</w:t>
      </w:r>
      <w:r w:rsidRPr="005B76A0">
        <w:rPr>
          <w:sz w:val="24"/>
        </w:rPr>
        <w:t>年中国轻工联合会团体标准计划（中轻联</w:t>
      </w:r>
      <w:r w:rsidR="00694781">
        <w:rPr>
          <w:rFonts w:hint="eastAsia"/>
          <w:sz w:val="24"/>
        </w:rPr>
        <w:t>标准</w:t>
      </w:r>
      <w:r w:rsidRPr="005B76A0">
        <w:rPr>
          <w:sz w:val="24"/>
        </w:rPr>
        <w:t>〔</w:t>
      </w:r>
      <w:r w:rsidRPr="005B76A0">
        <w:rPr>
          <w:sz w:val="24"/>
        </w:rPr>
        <w:t>202</w:t>
      </w:r>
      <w:r w:rsidR="00694781">
        <w:rPr>
          <w:rFonts w:hint="eastAsia"/>
          <w:sz w:val="24"/>
        </w:rPr>
        <w:t>4</w:t>
      </w:r>
      <w:r w:rsidRPr="005B76A0">
        <w:rPr>
          <w:sz w:val="24"/>
        </w:rPr>
        <w:t>〕</w:t>
      </w:r>
      <w:r w:rsidRPr="005B76A0">
        <w:rPr>
          <w:sz w:val="24"/>
        </w:rPr>
        <w:t>1</w:t>
      </w:r>
      <w:r w:rsidR="00694781">
        <w:rPr>
          <w:rFonts w:hint="eastAsia"/>
          <w:sz w:val="24"/>
        </w:rPr>
        <w:t>21</w:t>
      </w:r>
      <w:r w:rsidRPr="005B76A0">
        <w:rPr>
          <w:sz w:val="24"/>
        </w:rPr>
        <w:t>号），《</w:t>
      </w:r>
      <w:r w:rsidR="00FA0D1D">
        <w:rPr>
          <w:rFonts w:hint="eastAsia"/>
          <w:sz w:val="24"/>
        </w:rPr>
        <w:t>产品碳足迹</w:t>
      </w:r>
      <w:r w:rsidR="00FA0D1D">
        <w:rPr>
          <w:rFonts w:hint="eastAsia"/>
          <w:sz w:val="24"/>
        </w:rPr>
        <w:t xml:space="preserve"> </w:t>
      </w:r>
      <w:r w:rsidR="00FA0D1D">
        <w:rPr>
          <w:rFonts w:hint="eastAsia"/>
          <w:sz w:val="24"/>
        </w:rPr>
        <w:t>产品种类规则</w:t>
      </w:r>
      <w:r w:rsidR="0029670C">
        <w:rPr>
          <w:rFonts w:hint="eastAsia"/>
          <w:sz w:val="24"/>
        </w:rPr>
        <w:t xml:space="preserve"> </w:t>
      </w:r>
      <w:r w:rsidR="00694781">
        <w:rPr>
          <w:rFonts w:hint="eastAsia"/>
          <w:sz w:val="24"/>
        </w:rPr>
        <w:t>食品接触用金属容器</w:t>
      </w:r>
      <w:r w:rsidRPr="005B76A0">
        <w:rPr>
          <w:sz w:val="24"/>
        </w:rPr>
        <w:t>》（计划号：</w:t>
      </w:r>
      <w:r w:rsidRPr="005B76A0">
        <w:rPr>
          <w:sz w:val="24"/>
        </w:rPr>
        <w:t>202</w:t>
      </w:r>
      <w:r w:rsidR="00694781">
        <w:rPr>
          <w:rFonts w:hint="eastAsia"/>
          <w:sz w:val="24"/>
        </w:rPr>
        <w:t>4026</w:t>
      </w:r>
      <w:r w:rsidRPr="005B76A0">
        <w:rPr>
          <w:sz w:val="24"/>
        </w:rPr>
        <w:t>）团体标准被列入制定计划。归口单位为中国轻工联合会，</w:t>
      </w:r>
      <w:r w:rsidR="00000E45" w:rsidRPr="005B76A0">
        <w:rPr>
          <w:rFonts w:hint="eastAsia"/>
          <w:sz w:val="24"/>
        </w:rPr>
        <w:t>中国食品发酵工业研究院有限公司</w:t>
      </w:r>
      <w:r w:rsidR="00694781">
        <w:rPr>
          <w:rFonts w:hint="eastAsia"/>
          <w:sz w:val="24"/>
        </w:rPr>
        <w:t>负责组织标准制定工作</w:t>
      </w:r>
      <w:r w:rsidR="000208CA" w:rsidRPr="005B76A0">
        <w:rPr>
          <w:rFonts w:hint="eastAsia"/>
          <w:sz w:val="24"/>
        </w:rPr>
        <w:t>。</w:t>
      </w:r>
    </w:p>
    <w:p w14:paraId="4A27119D" w14:textId="04261668" w:rsidR="00646FC3" w:rsidRPr="005B76A0" w:rsidRDefault="00B53AA6" w:rsidP="00646FC3">
      <w:pPr>
        <w:pStyle w:val="2"/>
      </w:pPr>
      <w:r w:rsidRPr="005B76A0">
        <w:rPr>
          <w:rFonts w:hint="eastAsia"/>
        </w:rPr>
        <w:t>2</w:t>
      </w:r>
      <w:r w:rsidR="00646FC3" w:rsidRPr="005B76A0">
        <w:rPr>
          <w:rFonts w:hint="eastAsia"/>
        </w:rPr>
        <w:t>、行业</w:t>
      </w:r>
      <w:r w:rsidR="006D6125" w:rsidRPr="005B76A0">
        <w:rPr>
          <w:rFonts w:hint="eastAsia"/>
        </w:rPr>
        <w:t>概况</w:t>
      </w:r>
    </w:p>
    <w:p w14:paraId="3DD2F7CD" w14:textId="4B25A27C" w:rsidR="00694781" w:rsidRPr="005B76A0" w:rsidRDefault="008F7D59" w:rsidP="00694781">
      <w:pPr>
        <w:spacing w:line="360" w:lineRule="auto"/>
        <w:ind w:firstLineChars="196" w:firstLine="470"/>
        <w:contextualSpacing/>
        <w:rPr>
          <w:sz w:val="24"/>
        </w:rPr>
      </w:pPr>
      <w:r>
        <w:rPr>
          <w:rFonts w:hint="eastAsia"/>
          <w:sz w:val="24"/>
        </w:rPr>
        <w:t>食品接触用金属容器在饮料、食品罐头和调味品等领域应用广泛，</w:t>
      </w:r>
      <w:r w:rsidR="004F4BCE">
        <w:rPr>
          <w:rFonts w:hint="eastAsia"/>
          <w:sz w:val="24"/>
        </w:rPr>
        <w:t>有不易破损、携带方便、耐高温高压和空气湿度变化、耐腐蚀等特点。</w:t>
      </w:r>
      <w:r>
        <w:rPr>
          <w:rFonts w:hint="eastAsia"/>
          <w:sz w:val="24"/>
        </w:rPr>
        <w:t>随着消费升级和即饮产品的流行，</w:t>
      </w:r>
      <w:r w:rsidR="00695461">
        <w:rPr>
          <w:rFonts w:hint="eastAsia"/>
          <w:sz w:val="24"/>
        </w:rPr>
        <w:t>食品接触用金属容器的</w:t>
      </w:r>
      <w:r>
        <w:rPr>
          <w:rFonts w:hint="eastAsia"/>
          <w:sz w:val="24"/>
        </w:rPr>
        <w:t>市场需求持续扩大</w:t>
      </w:r>
      <w:r w:rsidR="00695461">
        <w:rPr>
          <w:rFonts w:hint="eastAsia"/>
          <w:sz w:val="24"/>
        </w:rPr>
        <w:t>，增长迅速。</w:t>
      </w:r>
      <w:r w:rsidR="004F4BCE">
        <w:rPr>
          <w:rFonts w:hint="eastAsia"/>
          <w:sz w:val="24"/>
        </w:rPr>
        <w:t>2020</w:t>
      </w:r>
      <w:r w:rsidR="004F4BCE">
        <w:rPr>
          <w:rFonts w:hint="eastAsia"/>
          <w:sz w:val="24"/>
        </w:rPr>
        <w:t>年中国铝制易拉罐的年产量已达到大约</w:t>
      </w:r>
      <w:r w:rsidR="004F4BCE">
        <w:rPr>
          <w:rFonts w:hint="eastAsia"/>
          <w:sz w:val="24"/>
        </w:rPr>
        <w:t>470</w:t>
      </w:r>
      <w:r w:rsidR="004F4BCE">
        <w:rPr>
          <w:rFonts w:hint="eastAsia"/>
          <w:sz w:val="24"/>
        </w:rPr>
        <w:t>亿罐，消耗原生铝约</w:t>
      </w:r>
      <w:r w:rsidR="004F4BCE">
        <w:rPr>
          <w:rFonts w:hint="eastAsia"/>
          <w:sz w:val="24"/>
        </w:rPr>
        <w:t>72</w:t>
      </w:r>
      <w:r w:rsidR="004F4BCE">
        <w:rPr>
          <w:rFonts w:hint="eastAsia"/>
          <w:sz w:val="24"/>
        </w:rPr>
        <w:t>万吨；到</w:t>
      </w:r>
      <w:r w:rsidR="004F4BCE">
        <w:rPr>
          <w:rFonts w:hint="eastAsia"/>
          <w:sz w:val="24"/>
        </w:rPr>
        <w:t>2025</w:t>
      </w:r>
      <w:r w:rsidR="004F4BCE">
        <w:rPr>
          <w:rFonts w:hint="eastAsia"/>
          <w:sz w:val="24"/>
        </w:rPr>
        <w:t>年，用于饮料包装的易拉罐数量将增至约</w:t>
      </w:r>
      <w:r w:rsidR="004F4BCE">
        <w:rPr>
          <w:rFonts w:hint="eastAsia"/>
          <w:sz w:val="24"/>
        </w:rPr>
        <w:t>600</w:t>
      </w:r>
      <w:r w:rsidR="004F4BCE">
        <w:rPr>
          <w:rFonts w:hint="eastAsia"/>
          <w:sz w:val="24"/>
        </w:rPr>
        <w:t>亿只。</w:t>
      </w:r>
    </w:p>
    <w:p w14:paraId="3B44C38E" w14:textId="513F563A" w:rsidR="00D24060" w:rsidRPr="005B76A0" w:rsidRDefault="000D013A" w:rsidP="0050697B">
      <w:pPr>
        <w:spacing w:line="360" w:lineRule="auto"/>
        <w:ind w:firstLineChars="196" w:firstLine="470"/>
        <w:contextualSpacing/>
        <w:rPr>
          <w:sz w:val="24"/>
        </w:rPr>
      </w:pPr>
      <w:r>
        <w:rPr>
          <w:rFonts w:hint="eastAsia"/>
          <w:sz w:val="24"/>
        </w:rPr>
        <w:t>目前，“绿色、低碳、环保”已成为包装行业不可逆转的发展趋势，塑料和玻璃等传统包装材料的使用面临越来越多的限制和挑战，而金属包装因其可回收、可循环再生的特性，成为众多企业的首选方案</w:t>
      </w:r>
      <w:r w:rsidR="00B011BF" w:rsidRPr="005B76A0">
        <w:rPr>
          <w:sz w:val="24"/>
        </w:rPr>
        <w:t>。</w:t>
      </w:r>
      <w:r w:rsidR="009D048A">
        <w:rPr>
          <w:rFonts w:hint="eastAsia"/>
          <w:sz w:val="24"/>
        </w:rPr>
        <w:t>食品接触金属容器上游为高耗能高排放的金属冶炼压延加工业，下游直接关系到食品安全问题，生命周期过程长、产品质量要求高，作为重要的消费品类，研究其产品碳足迹核算标准，建立产品碳足迹评价管理体系，有助于针对性的开展节能降碳改造，推动产业链绿色低碳</w:t>
      </w:r>
      <w:r w:rsidR="009D048A">
        <w:rPr>
          <w:rFonts w:hint="eastAsia"/>
          <w:sz w:val="24"/>
        </w:rPr>
        <w:lastRenderedPageBreak/>
        <w:t>发展。</w:t>
      </w:r>
    </w:p>
    <w:p w14:paraId="67A1A73B" w14:textId="0B50D4B4" w:rsidR="00DD666C" w:rsidRPr="005B76A0" w:rsidRDefault="00646FC3" w:rsidP="00646FC3">
      <w:pPr>
        <w:pStyle w:val="2"/>
      </w:pPr>
      <w:r w:rsidRPr="005B76A0">
        <w:t>3</w:t>
      </w:r>
      <w:r w:rsidR="00084B34" w:rsidRPr="005B76A0">
        <w:t>、主要工作过程</w:t>
      </w:r>
    </w:p>
    <w:p w14:paraId="3F996710" w14:textId="77777777" w:rsidR="00DD666C" w:rsidRPr="005B76A0" w:rsidRDefault="00084B34">
      <w:pPr>
        <w:spacing w:line="360" w:lineRule="auto"/>
        <w:ind w:firstLine="480"/>
        <w:contextualSpacing/>
        <w:rPr>
          <w:sz w:val="24"/>
        </w:rPr>
      </w:pPr>
      <w:r w:rsidRPr="005B76A0">
        <w:rPr>
          <w:sz w:val="24"/>
        </w:rPr>
        <w:t>1</w:t>
      </w:r>
      <w:r w:rsidRPr="005B76A0">
        <w:rPr>
          <w:rFonts w:hint="eastAsia"/>
          <w:sz w:val="24"/>
        </w:rPr>
        <w:t>）预研阶段</w:t>
      </w:r>
    </w:p>
    <w:p w14:paraId="7B13A87A" w14:textId="1774718A" w:rsidR="00DD666C" w:rsidRPr="005B76A0" w:rsidRDefault="00084B34">
      <w:pPr>
        <w:spacing w:line="360" w:lineRule="auto"/>
        <w:ind w:firstLine="480"/>
        <w:contextualSpacing/>
        <w:rPr>
          <w:sz w:val="24"/>
        </w:rPr>
      </w:pPr>
      <w:r w:rsidRPr="005B76A0">
        <w:rPr>
          <w:rFonts w:hint="eastAsia"/>
          <w:sz w:val="24"/>
        </w:rPr>
        <w:t>根据</w:t>
      </w:r>
      <w:r w:rsidR="002E4E94">
        <w:rPr>
          <w:rFonts w:hint="eastAsia"/>
          <w:sz w:val="24"/>
        </w:rPr>
        <w:t>《碳达峰碳中和标准体系建设指南》（</w:t>
      </w:r>
      <w:proofErr w:type="gramStart"/>
      <w:r w:rsidR="002E4E94" w:rsidRPr="002E4E94">
        <w:rPr>
          <w:rFonts w:hint="eastAsia"/>
          <w:sz w:val="24"/>
        </w:rPr>
        <w:t>国标委联</w:t>
      </w:r>
      <w:proofErr w:type="gramEnd"/>
      <w:r w:rsidR="002E4E94" w:rsidRPr="002E4E94">
        <w:rPr>
          <w:rFonts w:hint="eastAsia"/>
          <w:sz w:val="24"/>
        </w:rPr>
        <w:t>〔</w:t>
      </w:r>
      <w:r w:rsidR="002E4E94" w:rsidRPr="002E4E94">
        <w:rPr>
          <w:rFonts w:hint="eastAsia"/>
          <w:sz w:val="24"/>
        </w:rPr>
        <w:t>2023</w:t>
      </w:r>
      <w:r w:rsidR="002E4E94" w:rsidRPr="002E4E94">
        <w:rPr>
          <w:rFonts w:hint="eastAsia"/>
          <w:sz w:val="24"/>
        </w:rPr>
        <w:t>〕</w:t>
      </w:r>
      <w:r w:rsidR="002E4E94" w:rsidRPr="002E4E94">
        <w:rPr>
          <w:rFonts w:hint="eastAsia"/>
          <w:sz w:val="24"/>
        </w:rPr>
        <w:t>19</w:t>
      </w:r>
      <w:r w:rsidR="002E4E94" w:rsidRPr="002E4E94">
        <w:rPr>
          <w:rFonts w:hint="eastAsia"/>
          <w:sz w:val="24"/>
        </w:rPr>
        <w:t>号</w:t>
      </w:r>
      <w:r w:rsidR="002E4E94">
        <w:rPr>
          <w:rFonts w:hint="eastAsia"/>
          <w:sz w:val="24"/>
        </w:rPr>
        <w:t>）和</w:t>
      </w:r>
      <w:r w:rsidR="002E4E94" w:rsidRPr="00694781">
        <w:rPr>
          <w:rFonts w:hint="eastAsia"/>
          <w:sz w:val="24"/>
        </w:rPr>
        <w:t>《关于加快建立产品碳足迹管理体系的意见》（</w:t>
      </w:r>
      <w:proofErr w:type="gramStart"/>
      <w:r w:rsidR="002E4E94" w:rsidRPr="00694781">
        <w:rPr>
          <w:rFonts w:hint="eastAsia"/>
          <w:sz w:val="24"/>
        </w:rPr>
        <w:t>发改环</w:t>
      </w:r>
      <w:proofErr w:type="gramEnd"/>
      <w:r w:rsidR="002E4E94" w:rsidRPr="00694781">
        <w:rPr>
          <w:rFonts w:hint="eastAsia"/>
          <w:sz w:val="24"/>
        </w:rPr>
        <w:t>资〔</w:t>
      </w:r>
      <w:r w:rsidR="002E4E94" w:rsidRPr="00694781">
        <w:rPr>
          <w:rFonts w:hint="eastAsia"/>
          <w:sz w:val="24"/>
        </w:rPr>
        <w:t>2023</w:t>
      </w:r>
      <w:r w:rsidR="002E4E94" w:rsidRPr="00694781">
        <w:rPr>
          <w:rFonts w:hint="eastAsia"/>
          <w:sz w:val="24"/>
        </w:rPr>
        <w:t>〕</w:t>
      </w:r>
      <w:r w:rsidR="002E4E94" w:rsidRPr="00694781">
        <w:rPr>
          <w:rFonts w:hint="eastAsia"/>
          <w:sz w:val="24"/>
        </w:rPr>
        <w:t>1529</w:t>
      </w:r>
      <w:r w:rsidR="002E4E94" w:rsidRPr="00694781">
        <w:rPr>
          <w:rFonts w:hint="eastAsia"/>
          <w:sz w:val="24"/>
        </w:rPr>
        <w:t>号）</w:t>
      </w:r>
      <w:r w:rsidR="002E4E94">
        <w:rPr>
          <w:rFonts w:hint="eastAsia"/>
          <w:sz w:val="24"/>
        </w:rPr>
        <w:t>的要求，调研国内外食品接触用金属容器行业发展规模、发展现状、碳排放水平；参考</w:t>
      </w:r>
      <w:r w:rsidR="002E4E94" w:rsidRPr="002E4E94">
        <w:rPr>
          <w:rFonts w:hint="eastAsia"/>
          <w:sz w:val="24"/>
        </w:rPr>
        <w:t>《</w:t>
      </w:r>
      <w:r w:rsidR="002E4E94" w:rsidRPr="002E4E94">
        <w:rPr>
          <w:rFonts w:hint="eastAsia"/>
          <w:sz w:val="24"/>
        </w:rPr>
        <w:t xml:space="preserve">GHG Protocol </w:t>
      </w:r>
      <w:r w:rsidR="002E4E94" w:rsidRPr="002E4E94">
        <w:rPr>
          <w:rFonts w:hint="eastAsia"/>
          <w:sz w:val="24"/>
        </w:rPr>
        <w:t>产品生命周期核算与报告标准》</w:t>
      </w:r>
      <w:r w:rsidR="002E4E94" w:rsidRPr="002E4E94">
        <w:rPr>
          <w:rFonts w:hint="eastAsia"/>
          <w:sz w:val="24"/>
        </w:rPr>
        <w:t>(WRI,WBCSD,2011)</w:t>
      </w:r>
      <w:r w:rsidR="002E4E94">
        <w:rPr>
          <w:rFonts w:hint="eastAsia"/>
          <w:sz w:val="24"/>
        </w:rPr>
        <w:t>、</w:t>
      </w:r>
      <w:r w:rsidR="002E4E94" w:rsidRPr="002E4E94">
        <w:rPr>
          <w:rFonts w:hint="eastAsia"/>
          <w:sz w:val="24"/>
        </w:rPr>
        <w:t>《</w:t>
      </w:r>
      <w:r w:rsidR="002E4E94" w:rsidRPr="002E4E94">
        <w:rPr>
          <w:rFonts w:hint="eastAsia"/>
          <w:sz w:val="24"/>
        </w:rPr>
        <w:t xml:space="preserve">PAS 2050:2011 </w:t>
      </w:r>
      <w:r w:rsidR="002E4E94" w:rsidRPr="002E4E94">
        <w:rPr>
          <w:rFonts w:hint="eastAsia"/>
          <w:sz w:val="24"/>
        </w:rPr>
        <w:t>产品与服务生命周期温室气体排放的评价规范》</w:t>
      </w:r>
      <w:r w:rsidR="002E4E94" w:rsidRPr="002E4E94">
        <w:rPr>
          <w:rFonts w:hint="eastAsia"/>
          <w:sz w:val="24"/>
        </w:rPr>
        <w:t>(BSI.,2011)</w:t>
      </w:r>
      <w:r w:rsidR="002E4E94">
        <w:rPr>
          <w:rFonts w:hint="eastAsia"/>
          <w:sz w:val="24"/>
        </w:rPr>
        <w:t>、</w:t>
      </w:r>
      <w:r w:rsidR="002E4E94" w:rsidRPr="002E4E94">
        <w:rPr>
          <w:rFonts w:hint="eastAsia"/>
          <w:sz w:val="24"/>
        </w:rPr>
        <w:t>《</w:t>
      </w:r>
      <w:r w:rsidR="002E4E94" w:rsidRPr="002E4E94">
        <w:rPr>
          <w:rFonts w:hint="eastAsia"/>
          <w:sz w:val="24"/>
        </w:rPr>
        <w:t xml:space="preserve">ISO 14067 </w:t>
      </w:r>
      <w:r w:rsidR="002E4E94" w:rsidRPr="002E4E94">
        <w:rPr>
          <w:rFonts w:hint="eastAsia"/>
          <w:sz w:val="24"/>
        </w:rPr>
        <w:t>产品碳足迹量化与交流的要求与指导技术规范》</w:t>
      </w:r>
      <w:r w:rsidR="002E4E94" w:rsidRPr="002E4E94">
        <w:rPr>
          <w:rFonts w:hint="eastAsia"/>
          <w:sz w:val="24"/>
        </w:rPr>
        <w:t>(ISO,2018)</w:t>
      </w:r>
      <w:r w:rsidR="002E4E94">
        <w:rPr>
          <w:rFonts w:hint="eastAsia"/>
          <w:sz w:val="24"/>
        </w:rPr>
        <w:t>等国际通用产品碳足迹标准</w:t>
      </w:r>
      <w:r w:rsidRPr="005B76A0">
        <w:rPr>
          <w:rFonts w:hint="eastAsia"/>
          <w:sz w:val="24"/>
        </w:rPr>
        <w:t>，制定</w:t>
      </w:r>
      <w:r w:rsidR="00236773" w:rsidRPr="005B76A0">
        <w:rPr>
          <w:rFonts w:hint="eastAsia"/>
          <w:sz w:val="24"/>
        </w:rPr>
        <w:t>食品</w:t>
      </w:r>
      <w:r w:rsidR="002E4E94">
        <w:rPr>
          <w:rFonts w:hint="eastAsia"/>
          <w:sz w:val="24"/>
        </w:rPr>
        <w:t>接触用金属容器的产品碳足迹评价体系</w:t>
      </w:r>
      <w:r w:rsidRPr="005B76A0">
        <w:rPr>
          <w:sz w:val="24"/>
        </w:rPr>
        <w:t>。</w:t>
      </w:r>
    </w:p>
    <w:p w14:paraId="3C333E17" w14:textId="77777777" w:rsidR="00DD666C" w:rsidRPr="005B76A0" w:rsidRDefault="00084B34">
      <w:pPr>
        <w:spacing w:line="360" w:lineRule="auto"/>
        <w:ind w:firstLine="480"/>
        <w:contextualSpacing/>
        <w:rPr>
          <w:sz w:val="24"/>
        </w:rPr>
      </w:pPr>
      <w:r w:rsidRPr="005B76A0">
        <w:rPr>
          <w:rFonts w:hint="eastAsia"/>
          <w:sz w:val="24"/>
        </w:rPr>
        <w:t>2</w:t>
      </w:r>
      <w:r w:rsidRPr="005B76A0">
        <w:rPr>
          <w:rFonts w:hint="eastAsia"/>
          <w:sz w:val="24"/>
        </w:rPr>
        <w:t>）起草阶段</w:t>
      </w:r>
    </w:p>
    <w:p w14:paraId="14E1D63E" w14:textId="01706D36" w:rsidR="00DD666C" w:rsidRPr="005B76A0" w:rsidRDefault="00084B34">
      <w:pPr>
        <w:spacing w:line="440" w:lineRule="exact"/>
        <w:ind w:firstLineChars="200" w:firstLine="480"/>
        <w:rPr>
          <w:kern w:val="0"/>
          <w:sz w:val="24"/>
        </w:rPr>
      </w:pPr>
      <w:r w:rsidRPr="005B76A0">
        <w:rPr>
          <w:rFonts w:hint="eastAsia"/>
          <w:sz w:val="24"/>
        </w:rPr>
        <w:t>标准立项后，</w:t>
      </w:r>
      <w:r w:rsidRPr="005B76A0">
        <w:rPr>
          <w:sz w:val="24"/>
        </w:rPr>
        <w:t>202</w:t>
      </w:r>
      <w:r w:rsidR="00496D19">
        <w:rPr>
          <w:rFonts w:hint="eastAsia"/>
          <w:sz w:val="24"/>
        </w:rPr>
        <w:t>4</w:t>
      </w:r>
      <w:r w:rsidRPr="005B76A0">
        <w:rPr>
          <w:rFonts w:hint="eastAsia"/>
          <w:sz w:val="24"/>
        </w:rPr>
        <w:t>年</w:t>
      </w:r>
      <w:r w:rsidR="00EF24CE">
        <w:rPr>
          <w:sz w:val="24"/>
        </w:rPr>
        <w:t>1</w:t>
      </w:r>
      <w:r w:rsidR="004F4BCE">
        <w:rPr>
          <w:rFonts w:hint="eastAsia"/>
          <w:sz w:val="24"/>
        </w:rPr>
        <w:t>0</w:t>
      </w:r>
      <w:r w:rsidRPr="005B76A0">
        <w:rPr>
          <w:rFonts w:hint="eastAsia"/>
          <w:sz w:val="24"/>
        </w:rPr>
        <w:t>月，由牵头单位中国食品</w:t>
      </w:r>
      <w:r w:rsidRPr="005B76A0">
        <w:rPr>
          <w:sz w:val="24"/>
        </w:rPr>
        <w:t>发</w:t>
      </w:r>
      <w:r w:rsidRPr="005B76A0">
        <w:rPr>
          <w:rFonts w:hint="eastAsia"/>
          <w:sz w:val="24"/>
        </w:rPr>
        <w:t>酵</w:t>
      </w:r>
      <w:r w:rsidR="009B0326">
        <w:rPr>
          <w:rFonts w:hint="eastAsia"/>
          <w:sz w:val="24"/>
        </w:rPr>
        <w:t>工业</w:t>
      </w:r>
      <w:r w:rsidRPr="005B76A0">
        <w:rPr>
          <w:sz w:val="24"/>
        </w:rPr>
        <w:t>研究院有限公司</w:t>
      </w:r>
      <w:r w:rsidRPr="005B76A0">
        <w:rPr>
          <w:rFonts w:hint="eastAsia"/>
          <w:sz w:val="24"/>
        </w:rPr>
        <w:t>采取线上</w:t>
      </w:r>
      <w:r w:rsidR="004F4BCE">
        <w:rPr>
          <w:rFonts w:hint="eastAsia"/>
          <w:sz w:val="24"/>
        </w:rPr>
        <w:t>和</w:t>
      </w:r>
      <w:r w:rsidRPr="005B76A0">
        <w:rPr>
          <w:rFonts w:hint="eastAsia"/>
          <w:sz w:val="24"/>
        </w:rPr>
        <w:t>线下</w:t>
      </w:r>
      <w:r w:rsidR="004F4BCE">
        <w:rPr>
          <w:rFonts w:hint="eastAsia"/>
          <w:sz w:val="24"/>
        </w:rPr>
        <w:t>相结合的</w:t>
      </w:r>
      <w:r w:rsidRPr="005B76A0">
        <w:rPr>
          <w:rFonts w:hint="eastAsia"/>
          <w:sz w:val="24"/>
        </w:rPr>
        <w:t>形式组织召开了《</w:t>
      </w:r>
      <w:r w:rsidR="0029670C">
        <w:rPr>
          <w:rFonts w:hint="eastAsia"/>
          <w:sz w:val="24"/>
        </w:rPr>
        <w:t>温室气体</w:t>
      </w:r>
      <w:r w:rsidR="0029670C">
        <w:rPr>
          <w:rFonts w:hint="eastAsia"/>
          <w:sz w:val="24"/>
        </w:rPr>
        <w:t xml:space="preserve"> </w:t>
      </w:r>
      <w:r w:rsidR="0029670C">
        <w:rPr>
          <w:rFonts w:hint="eastAsia"/>
          <w:sz w:val="24"/>
        </w:rPr>
        <w:t>产品碳足迹量化方法与要求</w:t>
      </w:r>
      <w:r w:rsidR="0029670C">
        <w:rPr>
          <w:rFonts w:hint="eastAsia"/>
          <w:sz w:val="24"/>
        </w:rPr>
        <w:t xml:space="preserve"> </w:t>
      </w:r>
      <w:r w:rsidR="004F4BCE">
        <w:rPr>
          <w:rFonts w:hint="eastAsia"/>
          <w:sz w:val="24"/>
        </w:rPr>
        <w:t>食品接触用金属容器</w:t>
      </w:r>
      <w:r w:rsidR="0029670C">
        <w:rPr>
          <w:rFonts w:hint="eastAsia"/>
          <w:sz w:val="24"/>
        </w:rPr>
        <w:t>（含盖）</w:t>
      </w:r>
      <w:r w:rsidRPr="005B76A0">
        <w:rPr>
          <w:rFonts w:hint="eastAsia"/>
          <w:sz w:val="24"/>
        </w:rPr>
        <w:t>》团体标准第一次起草工作会议，会议主要确定了标准制定思路，工作计划安排，时间节点及任务分工。</w:t>
      </w:r>
      <w:r w:rsidRPr="005B76A0">
        <w:rPr>
          <w:rFonts w:hint="eastAsia"/>
          <w:kern w:val="0"/>
          <w:sz w:val="24"/>
        </w:rPr>
        <w:t>同时，与会代表对标准征求意见讨论稿进行了</w:t>
      </w:r>
      <w:r w:rsidR="00EF24CE">
        <w:rPr>
          <w:rFonts w:hint="eastAsia"/>
          <w:kern w:val="0"/>
          <w:sz w:val="24"/>
        </w:rPr>
        <w:t>充分</w:t>
      </w:r>
      <w:r w:rsidRPr="005B76A0">
        <w:rPr>
          <w:rFonts w:hint="eastAsia"/>
          <w:kern w:val="0"/>
          <w:sz w:val="24"/>
        </w:rPr>
        <w:t>讨论，提出多项修改意见和建议。会后工作组就不完善的数据进行了进一步的调研，并完善标准文本和标准说明，形成征求意见稿。</w:t>
      </w:r>
    </w:p>
    <w:p w14:paraId="36E4D2DA" w14:textId="2A29BE67" w:rsidR="00DD666C" w:rsidRPr="005B76A0" w:rsidRDefault="004B5FF2" w:rsidP="004B5FF2">
      <w:pPr>
        <w:spacing w:line="360" w:lineRule="auto"/>
        <w:ind w:firstLine="480"/>
        <w:contextualSpacing/>
        <w:rPr>
          <w:sz w:val="24"/>
        </w:rPr>
      </w:pPr>
      <w:r w:rsidRPr="005B76A0">
        <w:rPr>
          <w:rFonts w:hint="eastAsia"/>
          <w:sz w:val="24"/>
        </w:rPr>
        <w:t>3</w:t>
      </w:r>
      <w:r w:rsidRPr="005B76A0">
        <w:rPr>
          <w:rFonts w:hint="eastAsia"/>
          <w:sz w:val="24"/>
        </w:rPr>
        <w:t>）征求意见阶段</w:t>
      </w:r>
    </w:p>
    <w:p w14:paraId="0379D63B" w14:textId="09E2FB82" w:rsidR="00DD666C" w:rsidRPr="005B76A0" w:rsidRDefault="004B5FF2" w:rsidP="004B5FF2">
      <w:pPr>
        <w:spacing w:line="360" w:lineRule="auto"/>
        <w:ind w:firstLine="480"/>
        <w:contextualSpacing/>
        <w:rPr>
          <w:sz w:val="24"/>
        </w:rPr>
      </w:pPr>
      <w:bookmarkStart w:id="1" w:name="_Toc23770160"/>
      <w:r w:rsidRPr="005B76A0">
        <w:rPr>
          <w:rFonts w:hint="eastAsia"/>
          <w:sz w:val="24"/>
        </w:rPr>
        <w:t>4</w:t>
      </w:r>
      <w:r w:rsidRPr="005B76A0">
        <w:rPr>
          <w:rFonts w:hint="eastAsia"/>
          <w:sz w:val="24"/>
        </w:rPr>
        <w:t>）</w:t>
      </w:r>
      <w:r w:rsidRPr="005B76A0">
        <w:rPr>
          <w:sz w:val="24"/>
        </w:rPr>
        <w:t>审查阶段</w:t>
      </w:r>
    </w:p>
    <w:p w14:paraId="741C5186" w14:textId="623402F4" w:rsidR="00DD666C" w:rsidRPr="005B76A0" w:rsidRDefault="004B5FF2" w:rsidP="004B5FF2">
      <w:pPr>
        <w:spacing w:line="360" w:lineRule="auto"/>
        <w:ind w:firstLine="480"/>
        <w:contextualSpacing/>
        <w:rPr>
          <w:sz w:val="24"/>
        </w:rPr>
      </w:pPr>
      <w:r w:rsidRPr="005B76A0">
        <w:rPr>
          <w:rFonts w:hint="eastAsia"/>
          <w:sz w:val="24"/>
        </w:rPr>
        <w:t>5</w:t>
      </w:r>
      <w:r w:rsidRPr="005B76A0">
        <w:rPr>
          <w:rFonts w:hint="eastAsia"/>
          <w:sz w:val="24"/>
        </w:rPr>
        <w:t>）</w:t>
      </w:r>
      <w:r w:rsidRPr="005B76A0">
        <w:rPr>
          <w:sz w:val="24"/>
        </w:rPr>
        <w:t>报批阶段</w:t>
      </w:r>
    </w:p>
    <w:p w14:paraId="7D707571" w14:textId="6ADD5FEC" w:rsidR="00DD666C" w:rsidRPr="005B76A0" w:rsidRDefault="00830F2F" w:rsidP="00830F2F">
      <w:pPr>
        <w:pStyle w:val="2"/>
      </w:pPr>
      <w:r w:rsidRPr="005B76A0">
        <w:t>4</w:t>
      </w:r>
      <w:r w:rsidR="00084B34" w:rsidRPr="005B76A0">
        <w:t>、主要起草单位及起草人所做的工作</w:t>
      </w:r>
    </w:p>
    <w:p w14:paraId="5E566251" w14:textId="64CAD6E2" w:rsidR="00DD666C" w:rsidRPr="005B76A0" w:rsidRDefault="00084B34">
      <w:pPr>
        <w:spacing w:line="360" w:lineRule="auto"/>
        <w:ind w:firstLineChars="196" w:firstLine="470"/>
        <w:contextualSpacing/>
        <w:rPr>
          <w:sz w:val="24"/>
        </w:rPr>
      </w:pPr>
      <w:bookmarkStart w:id="2" w:name="_Hlk57290058"/>
      <w:r w:rsidRPr="005B76A0">
        <w:rPr>
          <w:rFonts w:hint="eastAsia"/>
          <w:sz w:val="24"/>
        </w:rPr>
        <w:t>本标准</w:t>
      </w:r>
      <w:r w:rsidR="003B5BC8" w:rsidRPr="005B76A0">
        <w:rPr>
          <w:rFonts w:hint="eastAsia"/>
          <w:sz w:val="24"/>
        </w:rPr>
        <w:t>要单位成员包括</w:t>
      </w:r>
      <w:r w:rsidRPr="005B76A0">
        <w:rPr>
          <w:rFonts w:hint="eastAsia"/>
          <w:sz w:val="24"/>
        </w:rPr>
        <w:t>。</w:t>
      </w:r>
    </w:p>
    <w:p w14:paraId="3306976A" w14:textId="54A27E68" w:rsidR="00DD666C" w:rsidRPr="005B76A0" w:rsidRDefault="00084B34">
      <w:pPr>
        <w:spacing w:line="360" w:lineRule="auto"/>
        <w:ind w:firstLineChars="196" w:firstLine="470"/>
        <w:contextualSpacing/>
        <w:rPr>
          <w:sz w:val="24"/>
        </w:rPr>
      </w:pPr>
      <w:r w:rsidRPr="005B76A0">
        <w:rPr>
          <w:rFonts w:hint="eastAsia"/>
          <w:sz w:val="24"/>
        </w:rPr>
        <w:t>主要成员：</w:t>
      </w:r>
      <w:r w:rsidR="00000E45" w:rsidRPr="005B76A0">
        <w:rPr>
          <w:rFonts w:hint="eastAsia"/>
          <w:sz w:val="24"/>
        </w:rPr>
        <w:t>。</w:t>
      </w:r>
    </w:p>
    <w:p w14:paraId="1EEB9D1E" w14:textId="78D8419B" w:rsidR="00DD666C" w:rsidRPr="005B76A0" w:rsidRDefault="00084B34">
      <w:pPr>
        <w:spacing w:line="360" w:lineRule="auto"/>
        <w:ind w:firstLineChars="200" w:firstLine="480"/>
        <w:contextualSpacing/>
        <w:rPr>
          <w:b/>
          <w:sz w:val="24"/>
        </w:rPr>
      </w:pPr>
      <w:r w:rsidRPr="005B76A0">
        <w:rPr>
          <w:rFonts w:hint="eastAsia"/>
          <w:sz w:val="24"/>
        </w:rPr>
        <w:t>所做的工作：。</w:t>
      </w:r>
      <w:bookmarkEnd w:id="2"/>
    </w:p>
    <w:bookmarkEnd w:id="1"/>
    <w:p w14:paraId="24E4E9A5" w14:textId="77777777" w:rsidR="00264AEB" w:rsidRPr="005B76A0" w:rsidRDefault="00264AEB" w:rsidP="00646FC3">
      <w:pPr>
        <w:pStyle w:val="1"/>
        <w:rPr>
          <w:rFonts w:hint="eastAsia"/>
        </w:rPr>
      </w:pPr>
      <w:r w:rsidRPr="005B76A0">
        <w:t>二、标准编制原则</w:t>
      </w:r>
    </w:p>
    <w:p w14:paraId="7F695B2B" w14:textId="3FC5CC72" w:rsidR="00591798" w:rsidRDefault="007305B8" w:rsidP="002E6D6A">
      <w:pPr>
        <w:autoSpaceDE w:val="0"/>
        <w:autoSpaceDN w:val="0"/>
        <w:adjustRightInd w:val="0"/>
        <w:spacing w:line="440" w:lineRule="exact"/>
        <w:ind w:firstLineChars="200" w:firstLine="480"/>
        <w:rPr>
          <w:kern w:val="0"/>
          <w:sz w:val="24"/>
        </w:rPr>
      </w:pPr>
      <w:r>
        <w:rPr>
          <w:rFonts w:hint="eastAsia"/>
          <w:kern w:val="0"/>
          <w:sz w:val="24"/>
        </w:rPr>
        <w:t>2023</w:t>
      </w:r>
      <w:r>
        <w:rPr>
          <w:rFonts w:hint="eastAsia"/>
          <w:kern w:val="0"/>
          <w:sz w:val="24"/>
        </w:rPr>
        <w:t>年</w:t>
      </w:r>
      <w:r>
        <w:rPr>
          <w:rFonts w:hint="eastAsia"/>
          <w:kern w:val="0"/>
          <w:sz w:val="24"/>
        </w:rPr>
        <w:t>4</w:t>
      </w:r>
      <w:r>
        <w:rPr>
          <w:rFonts w:hint="eastAsia"/>
          <w:kern w:val="0"/>
          <w:sz w:val="24"/>
        </w:rPr>
        <w:t>月，国家标准委等十一部门颁布《碳达峰碳中和标准体系建设指南》（</w:t>
      </w:r>
      <w:r>
        <w:rPr>
          <w:rFonts w:hint="eastAsia"/>
          <w:sz w:val="24"/>
        </w:rPr>
        <w:t>国标委联</w:t>
      </w:r>
      <w:r w:rsidRPr="002E4E94">
        <w:rPr>
          <w:rFonts w:hint="eastAsia"/>
          <w:sz w:val="24"/>
        </w:rPr>
        <w:t>〔</w:t>
      </w:r>
      <w:r w:rsidRPr="002E4E94">
        <w:rPr>
          <w:rFonts w:hint="eastAsia"/>
          <w:sz w:val="24"/>
        </w:rPr>
        <w:t>202</w:t>
      </w:r>
      <w:r>
        <w:rPr>
          <w:rFonts w:hint="eastAsia"/>
          <w:sz w:val="24"/>
        </w:rPr>
        <w:t>3</w:t>
      </w:r>
      <w:r w:rsidRPr="002E4E94">
        <w:rPr>
          <w:rFonts w:hint="eastAsia"/>
          <w:sz w:val="24"/>
        </w:rPr>
        <w:t>〕</w:t>
      </w:r>
      <w:r>
        <w:rPr>
          <w:rFonts w:hint="eastAsia"/>
          <w:sz w:val="24"/>
        </w:rPr>
        <w:t>19</w:t>
      </w:r>
      <w:r w:rsidRPr="002E4E94">
        <w:rPr>
          <w:rFonts w:hint="eastAsia"/>
          <w:sz w:val="24"/>
        </w:rPr>
        <w:t>号</w:t>
      </w:r>
      <w:r>
        <w:rPr>
          <w:rFonts w:hint="eastAsia"/>
          <w:kern w:val="0"/>
          <w:sz w:val="24"/>
        </w:rPr>
        <w:t>），要求加快构建结构合理、层次分明、适应经济社会高质量发展的碳达峰碳中和标准体系，其中产品碳足迹标准属于“</w:t>
      </w:r>
      <w:r>
        <w:rPr>
          <w:rFonts w:hint="eastAsia"/>
          <w:kern w:val="0"/>
          <w:sz w:val="24"/>
        </w:rPr>
        <w:t xml:space="preserve">0 </w:t>
      </w:r>
      <w:r>
        <w:rPr>
          <w:rFonts w:hint="eastAsia"/>
          <w:kern w:val="0"/>
          <w:sz w:val="24"/>
        </w:rPr>
        <w:t>基础通用”</w:t>
      </w:r>
      <w:r>
        <w:rPr>
          <w:rFonts w:hint="eastAsia"/>
          <w:kern w:val="0"/>
          <w:sz w:val="24"/>
        </w:rPr>
        <w:lastRenderedPageBreak/>
        <w:t>一级子体系，“</w:t>
      </w:r>
      <w:r>
        <w:rPr>
          <w:rFonts w:hint="eastAsia"/>
          <w:kern w:val="0"/>
          <w:sz w:val="24"/>
        </w:rPr>
        <w:t xml:space="preserve">0.2 </w:t>
      </w:r>
      <w:r>
        <w:rPr>
          <w:rFonts w:hint="eastAsia"/>
          <w:kern w:val="0"/>
          <w:sz w:val="24"/>
        </w:rPr>
        <w:t>碳监测核算核查”</w:t>
      </w:r>
      <w:r w:rsidR="002E6D6A">
        <w:rPr>
          <w:rFonts w:hint="eastAsia"/>
          <w:kern w:val="0"/>
          <w:sz w:val="24"/>
        </w:rPr>
        <w:t>二级子体系，“</w:t>
      </w:r>
      <w:r w:rsidR="002E6D6A">
        <w:rPr>
          <w:rFonts w:hint="eastAsia"/>
          <w:kern w:val="0"/>
          <w:sz w:val="24"/>
        </w:rPr>
        <w:t xml:space="preserve">0.2.5 </w:t>
      </w:r>
      <w:r w:rsidR="002E6D6A">
        <w:rPr>
          <w:rFonts w:hint="eastAsia"/>
          <w:kern w:val="0"/>
          <w:sz w:val="24"/>
        </w:rPr>
        <w:t>产品碳足迹”三级子体系。</w:t>
      </w:r>
      <w:r w:rsidR="002E6D6A">
        <w:rPr>
          <w:rFonts w:hint="eastAsia"/>
          <w:kern w:val="0"/>
          <w:sz w:val="24"/>
        </w:rPr>
        <w:t>2024</w:t>
      </w:r>
      <w:r w:rsidR="002E6D6A">
        <w:rPr>
          <w:rFonts w:hint="eastAsia"/>
          <w:kern w:val="0"/>
          <w:sz w:val="24"/>
        </w:rPr>
        <w:t>年</w:t>
      </w:r>
      <w:r w:rsidR="002E6D6A">
        <w:rPr>
          <w:rFonts w:hint="eastAsia"/>
          <w:kern w:val="0"/>
          <w:sz w:val="24"/>
        </w:rPr>
        <w:t>2</w:t>
      </w:r>
      <w:r w:rsidR="002E6D6A">
        <w:rPr>
          <w:rFonts w:hint="eastAsia"/>
          <w:kern w:val="0"/>
          <w:sz w:val="24"/>
        </w:rPr>
        <w:t>月，工业和信息化部组织编制了《工业领域碳达峰碳中和标准体系建设指南》（</w:t>
      </w:r>
      <w:r w:rsidR="002E6D6A" w:rsidRPr="002E6D6A">
        <w:rPr>
          <w:rFonts w:hint="eastAsia"/>
          <w:kern w:val="0"/>
          <w:sz w:val="24"/>
        </w:rPr>
        <w:t>工信厅科〔</w:t>
      </w:r>
      <w:r w:rsidR="002E6D6A" w:rsidRPr="002E6D6A">
        <w:rPr>
          <w:rFonts w:hint="eastAsia"/>
          <w:kern w:val="0"/>
          <w:sz w:val="24"/>
        </w:rPr>
        <w:t>2024</w:t>
      </w:r>
      <w:r w:rsidR="002E6D6A" w:rsidRPr="002E6D6A">
        <w:rPr>
          <w:rFonts w:hint="eastAsia"/>
          <w:kern w:val="0"/>
          <w:sz w:val="24"/>
        </w:rPr>
        <w:t>〕</w:t>
      </w:r>
      <w:r w:rsidR="002E6D6A" w:rsidRPr="002E6D6A">
        <w:rPr>
          <w:rFonts w:hint="eastAsia"/>
          <w:kern w:val="0"/>
          <w:sz w:val="24"/>
        </w:rPr>
        <w:t>7</w:t>
      </w:r>
      <w:r w:rsidR="002E6D6A" w:rsidRPr="002E6D6A">
        <w:rPr>
          <w:rFonts w:hint="eastAsia"/>
          <w:kern w:val="0"/>
          <w:sz w:val="24"/>
        </w:rPr>
        <w:t>号</w:t>
      </w:r>
      <w:r w:rsidR="002E6D6A">
        <w:rPr>
          <w:rFonts w:hint="eastAsia"/>
          <w:kern w:val="0"/>
          <w:sz w:val="24"/>
        </w:rPr>
        <w:t>），其中说明</w:t>
      </w:r>
      <w:r w:rsidR="002E6D6A" w:rsidRPr="002E6D6A">
        <w:rPr>
          <w:rFonts w:hint="eastAsia"/>
          <w:kern w:val="0"/>
          <w:sz w:val="24"/>
        </w:rPr>
        <w:t>产品碳足迹核算标准主要规范工业产品在其生命周期内直接和间接排放的温室气体总量的核算，包括产品种类规则、碳足迹评估等标准。</w:t>
      </w:r>
      <w:r w:rsidR="00E835EC">
        <w:rPr>
          <w:rFonts w:hint="eastAsia"/>
          <w:kern w:val="0"/>
          <w:sz w:val="24"/>
        </w:rPr>
        <w:t>2024</w:t>
      </w:r>
      <w:r w:rsidR="00E835EC">
        <w:rPr>
          <w:rFonts w:hint="eastAsia"/>
          <w:kern w:val="0"/>
          <w:sz w:val="24"/>
        </w:rPr>
        <w:t>年</w:t>
      </w:r>
      <w:r w:rsidR="00E835EC">
        <w:rPr>
          <w:rFonts w:hint="eastAsia"/>
          <w:kern w:val="0"/>
          <w:sz w:val="24"/>
        </w:rPr>
        <w:t>5</w:t>
      </w:r>
      <w:r w:rsidR="00E835EC">
        <w:rPr>
          <w:rFonts w:hint="eastAsia"/>
          <w:kern w:val="0"/>
          <w:sz w:val="24"/>
        </w:rPr>
        <w:t>月，</w:t>
      </w:r>
      <w:r w:rsidR="00E835EC" w:rsidRPr="00E835EC">
        <w:rPr>
          <w:rFonts w:hint="eastAsia"/>
          <w:kern w:val="0"/>
          <w:sz w:val="24"/>
        </w:rPr>
        <w:t>生态环境部</w:t>
      </w:r>
      <w:r w:rsidR="00E835EC">
        <w:rPr>
          <w:rFonts w:hint="eastAsia"/>
          <w:kern w:val="0"/>
          <w:sz w:val="24"/>
        </w:rPr>
        <w:t>会同国家发展改革委等多部门制定了《关于建立碳足迹管理体系的实施方案》（</w:t>
      </w:r>
      <w:r w:rsidR="00E835EC" w:rsidRPr="00E835EC">
        <w:rPr>
          <w:rFonts w:hint="eastAsia"/>
          <w:kern w:val="0"/>
          <w:sz w:val="24"/>
        </w:rPr>
        <w:t>环气候〔</w:t>
      </w:r>
      <w:r w:rsidR="00E835EC" w:rsidRPr="00E835EC">
        <w:rPr>
          <w:rFonts w:hint="eastAsia"/>
          <w:kern w:val="0"/>
          <w:sz w:val="24"/>
        </w:rPr>
        <w:t>2024</w:t>
      </w:r>
      <w:r w:rsidR="00E835EC" w:rsidRPr="00E835EC">
        <w:rPr>
          <w:rFonts w:hint="eastAsia"/>
          <w:kern w:val="0"/>
          <w:sz w:val="24"/>
        </w:rPr>
        <w:t>〕</w:t>
      </w:r>
      <w:r w:rsidR="00E835EC" w:rsidRPr="00E835EC">
        <w:rPr>
          <w:rFonts w:hint="eastAsia"/>
          <w:kern w:val="0"/>
          <w:sz w:val="24"/>
        </w:rPr>
        <w:t>30</w:t>
      </w:r>
      <w:r w:rsidR="00E835EC" w:rsidRPr="00E835EC">
        <w:rPr>
          <w:rFonts w:hint="eastAsia"/>
          <w:kern w:val="0"/>
          <w:sz w:val="24"/>
        </w:rPr>
        <w:t>号</w:t>
      </w:r>
      <w:r w:rsidR="00E835EC">
        <w:rPr>
          <w:rFonts w:hint="eastAsia"/>
          <w:kern w:val="0"/>
          <w:sz w:val="24"/>
        </w:rPr>
        <w:t>），计划到</w:t>
      </w:r>
      <w:r w:rsidR="00E835EC">
        <w:rPr>
          <w:rFonts w:hint="eastAsia"/>
          <w:kern w:val="0"/>
          <w:sz w:val="24"/>
        </w:rPr>
        <w:t>2027</w:t>
      </w:r>
      <w:r w:rsidR="00E835EC">
        <w:rPr>
          <w:rFonts w:hint="eastAsia"/>
          <w:kern w:val="0"/>
          <w:sz w:val="24"/>
        </w:rPr>
        <w:t>年制定出台</w:t>
      </w:r>
      <w:r w:rsidR="00E835EC">
        <w:rPr>
          <w:rFonts w:hint="eastAsia"/>
          <w:kern w:val="0"/>
          <w:sz w:val="24"/>
        </w:rPr>
        <w:t>100</w:t>
      </w:r>
      <w:r w:rsidR="00E835EC">
        <w:rPr>
          <w:rFonts w:hint="eastAsia"/>
          <w:kern w:val="0"/>
          <w:sz w:val="24"/>
        </w:rPr>
        <w:t>个左右重点产品碳足迹核算规则标准，</w:t>
      </w:r>
      <w:r w:rsidR="00E835EC">
        <w:rPr>
          <w:rFonts w:hint="eastAsia"/>
          <w:kern w:val="0"/>
          <w:sz w:val="24"/>
        </w:rPr>
        <w:t>2030</w:t>
      </w:r>
      <w:r w:rsidR="00E835EC">
        <w:rPr>
          <w:rFonts w:hint="eastAsia"/>
          <w:kern w:val="0"/>
          <w:sz w:val="24"/>
        </w:rPr>
        <w:t>年制定出台</w:t>
      </w:r>
      <w:r w:rsidR="00E835EC">
        <w:rPr>
          <w:rFonts w:hint="eastAsia"/>
          <w:kern w:val="0"/>
          <w:sz w:val="24"/>
        </w:rPr>
        <w:t>200</w:t>
      </w:r>
      <w:r w:rsidR="00E835EC">
        <w:rPr>
          <w:rFonts w:hint="eastAsia"/>
          <w:kern w:val="0"/>
          <w:sz w:val="24"/>
        </w:rPr>
        <w:t>个左右重点产品碳足迹核算规则标准，立足国情做好产品碳足迹标准化工作，明确产品碳足迹核算边界、核算方法、发布形式、数据质量要求和溯源性要求等。</w:t>
      </w:r>
      <w:r w:rsidR="00591798">
        <w:rPr>
          <w:rFonts w:hint="eastAsia"/>
          <w:kern w:val="0"/>
          <w:sz w:val="24"/>
        </w:rPr>
        <w:t>2024</w:t>
      </w:r>
      <w:r w:rsidR="00591798">
        <w:rPr>
          <w:rFonts w:hint="eastAsia"/>
          <w:kern w:val="0"/>
          <w:sz w:val="24"/>
        </w:rPr>
        <w:t>年</w:t>
      </w:r>
      <w:r w:rsidR="00591798">
        <w:rPr>
          <w:rFonts w:hint="eastAsia"/>
          <w:kern w:val="0"/>
          <w:sz w:val="24"/>
        </w:rPr>
        <w:t>8</w:t>
      </w:r>
      <w:r w:rsidR="00591798">
        <w:rPr>
          <w:rFonts w:hint="eastAsia"/>
          <w:kern w:val="0"/>
          <w:sz w:val="24"/>
        </w:rPr>
        <w:t>月，国家发展改革委、市场监管总局、生态环境部颁布</w:t>
      </w:r>
      <w:r w:rsidR="00591798" w:rsidRPr="00591798">
        <w:rPr>
          <w:rFonts w:hint="eastAsia"/>
          <w:kern w:val="0"/>
          <w:sz w:val="24"/>
        </w:rPr>
        <w:t>《关于进一步强化碳达峰碳中和标准计量体系建设行动方案（</w:t>
      </w:r>
      <w:r w:rsidR="00591798" w:rsidRPr="00591798">
        <w:rPr>
          <w:rFonts w:hint="eastAsia"/>
          <w:kern w:val="0"/>
          <w:sz w:val="24"/>
        </w:rPr>
        <w:t>2024</w:t>
      </w:r>
      <w:r w:rsidR="00591798" w:rsidRPr="00591798">
        <w:rPr>
          <w:rFonts w:hint="eastAsia"/>
          <w:kern w:val="0"/>
          <w:sz w:val="24"/>
        </w:rPr>
        <w:t>—</w:t>
      </w:r>
      <w:r w:rsidR="00591798" w:rsidRPr="00591798">
        <w:rPr>
          <w:rFonts w:hint="eastAsia"/>
          <w:kern w:val="0"/>
          <w:sz w:val="24"/>
        </w:rPr>
        <w:t>2025</w:t>
      </w:r>
      <w:r w:rsidR="00591798" w:rsidRPr="00591798">
        <w:rPr>
          <w:rFonts w:hint="eastAsia"/>
          <w:kern w:val="0"/>
          <w:sz w:val="24"/>
        </w:rPr>
        <w:t>年）》</w:t>
      </w:r>
      <w:r>
        <w:rPr>
          <w:rFonts w:hint="eastAsia"/>
          <w:kern w:val="0"/>
          <w:sz w:val="24"/>
        </w:rPr>
        <w:t>（</w:t>
      </w:r>
      <w:r>
        <w:rPr>
          <w:rFonts w:hint="eastAsia"/>
          <w:sz w:val="24"/>
        </w:rPr>
        <w:t>发改环资</w:t>
      </w:r>
      <w:r w:rsidRPr="002E4E94">
        <w:rPr>
          <w:rFonts w:hint="eastAsia"/>
          <w:sz w:val="24"/>
        </w:rPr>
        <w:t>〔</w:t>
      </w:r>
      <w:r w:rsidRPr="002E4E94">
        <w:rPr>
          <w:rFonts w:hint="eastAsia"/>
          <w:sz w:val="24"/>
        </w:rPr>
        <w:t>202</w:t>
      </w:r>
      <w:r>
        <w:rPr>
          <w:rFonts w:hint="eastAsia"/>
          <w:sz w:val="24"/>
        </w:rPr>
        <w:t>4</w:t>
      </w:r>
      <w:r w:rsidRPr="002E4E94">
        <w:rPr>
          <w:rFonts w:hint="eastAsia"/>
          <w:sz w:val="24"/>
        </w:rPr>
        <w:t>〕</w:t>
      </w:r>
      <w:r>
        <w:rPr>
          <w:rFonts w:hint="eastAsia"/>
          <w:sz w:val="24"/>
        </w:rPr>
        <w:t>1046</w:t>
      </w:r>
      <w:r w:rsidRPr="002E4E94">
        <w:rPr>
          <w:rFonts w:hint="eastAsia"/>
          <w:sz w:val="24"/>
        </w:rPr>
        <w:t>号</w:t>
      </w:r>
      <w:r>
        <w:rPr>
          <w:rFonts w:hint="eastAsia"/>
          <w:kern w:val="0"/>
          <w:sz w:val="24"/>
        </w:rPr>
        <w:t>），要求加快企业碳排放核算标准研制，加强产品碳足迹碳标识标准建设。</w:t>
      </w:r>
    </w:p>
    <w:p w14:paraId="6A1DDF7D" w14:textId="7C0E954B" w:rsidR="00E835EC" w:rsidRPr="00E835EC" w:rsidRDefault="00E835EC" w:rsidP="002E6D6A">
      <w:pPr>
        <w:autoSpaceDE w:val="0"/>
        <w:autoSpaceDN w:val="0"/>
        <w:adjustRightInd w:val="0"/>
        <w:spacing w:line="440" w:lineRule="exact"/>
        <w:ind w:firstLineChars="200" w:firstLine="480"/>
        <w:rPr>
          <w:kern w:val="0"/>
          <w:sz w:val="24"/>
        </w:rPr>
      </w:pPr>
      <w:r>
        <w:rPr>
          <w:rFonts w:hint="eastAsia"/>
          <w:kern w:val="0"/>
          <w:sz w:val="24"/>
        </w:rPr>
        <w:t>2024</w:t>
      </w:r>
      <w:r>
        <w:rPr>
          <w:rFonts w:hint="eastAsia"/>
          <w:kern w:val="0"/>
          <w:sz w:val="24"/>
        </w:rPr>
        <w:t>年</w:t>
      </w:r>
      <w:r>
        <w:rPr>
          <w:rFonts w:hint="eastAsia"/>
          <w:kern w:val="0"/>
          <w:sz w:val="24"/>
        </w:rPr>
        <w:t>9</w:t>
      </w:r>
      <w:r>
        <w:rPr>
          <w:rFonts w:hint="eastAsia"/>
          <w:kern w:val="0"/>
          <w:sz w:val="24"/>
        </w:rPr>
        <w:t>月，生态环境部发布了《温室气体</w:t>
      </w:r>
      <w:r>
        <w:rPr>
          <w:rFonts w:hint="eastAsia"/>
          <w:kern w:val="0"/>
          <w:sz w:val="24"/>
        </w:rPr>
        <w:t xml:space="preserve"> </w:t>
      </w:r>
      <w:r>
        <w:rPr>
          <w:rFonts w:hint="eastAsia"/>
          <w:kern w:val="0"/>
          <w:sz w:val="24"/>
        </w:rPr>
        <w:t>产品碳足迹</w:t>
      </w:r>
      <w:r>
        <w:rPr>
          <w:rFonts w:hint="eastAsia"/>
          <w:kern w:val="0"/>
          <w:sz w:val="24"/>
        </w:rPr>
        <w:t xml:space="preserve"> </w:t>
      </w:r>
      <w:r>
        <w:rPr>
          <w:rFonts w:hint="eastAsia"/>
          <w:kern w:val="0"/>
          <w:sz w:val="24"/>
        </w:rPr>
        <w:t>量化要求和指南》（</w:t>
      </w:r>
      <w:r>
        <w:rPr>
          <w:rFonts w:hint="eastAsia"/>
          <w:kern w:val="0"/>
          <w:sz w:val="24"/>
        </w:rPr>
        <w:t>GB/T 24067-2024</w:t>
      </w:r>
      <w:r>
        <w:rPr>
          <w:rFonts w:hint="eastAsia"/>
          <w:kern w:val="0"/>
          <w:sz w:val="24"/>
        </w:rPr>
        <w:t>）国家标准，规定了产品碳足迹的研究范围、原则和量化方法等通用原则，相较于国际标准，增加了编制具体产品碳足迹标准的参考框架、数据地理边界信息建议等。</w:t>
      </w:r>
    </w:p>
    <w:p w14:paraId="169074C6" w14:textId="1C04CE41" w:rsidR="00DD666C" w:rsidRPr="005B76A0" w:rsidRDefault="00084B34" w:rsidP="009E043B">
      <w:pPr>
        <w:autoSpaceDE w:val="0"/>
        <w:autoSpaceDN w:val="0"/>
        <w:adjustRightInd w:val="0"/>
        <w:spacing w:line="440" w:lineRule="exact"/>
        <w:ind w:firstLineChars="200" w:firstLine="480"/>
        <w:rPr>
          <w:kern w:val="0"/>
          <w:sz w:val="24"/>
        </w:rPr>
      </w:pPr>
      <w:r w:rsidRPr="005B76A0">
        <w:rPr>
          <w:rFonts w:hint="eastAsia"/>
          <w:kern w:val="0"/>
          <w:sz w:val="24"/>
        </w:rPr>
        <w:t>依据以上文件和标准要求，本标准编制过程中，主要体现如下原则：</w:t>
      </w:r>
    </w:p>
    <w:p w14:paraId="3EDC8E32" w14:textId="1CE37058" w:rsidR="00DD666C" w:rsidRPr="005B76A0" w:rsidRDefault="00084B34" w:rsidP="009E043B">
      <w:pPr>
        <w:autoSpaceDE w:val="0"/>
        <w:autoSpaceDN w:val="0"/>
        <w:adjustRightInd w:val="0"/>
        <w:spacing w:line="440" w:lineRule="exact"/>
        <w:ind w:firstLineChars="200" w:firstLine="480"/>
        <w:rPr>
          <w:kern w:val="0"/>
          <w:sz w:val="24"/>
        </w:rPr>
      </w:pPr>
      <w:r w:rsidRPr="005B76A0">
        <w:rPr>
          <w:rFonts w:hint="eastAsia"/>
          <w:kern w:val="0"/>
          <w:sz w:val="24"/>
        </w:rPr>
        <w:t>（</w:t>
      </w:r>
      <w:r w:rsidRPr="005B76A0">
        <w:rPr>
          <w:rFonts w:hint="eastAsia"/>
          <w:kern w:val="0"/>
          <w:sz w:val="24"/>
        </w:rPr>
        <w:t>1</w:t>
      </w:r>
      <w:r w:rsidRPr="005B76A0">
        <w:rPr>
          <w:rFonts w:hint="eastAsia"/>
          <w:kern w:val="0"/>
          <w:sz w:val="24"/>
        </w:rPr>
        <w:t>）协调性原则：与</w:t>
      </w:r>
      <w:r w:rsidR="00E835EC">
        <w:rPr>
          <w:rFonts w:hint="eastAsia"/>
          <w:sz w:val="24"/>
        </w:rPr>
        <w:t>食品接触用金属容器</w:t>
      </w:r>
      <w:r w:rsidRPr="005B76A0">
        <w:rPr>
          <w:rFonts w:hint="eastAsia"/>
          <w:sz w:val="24"/>
        </w:rPr>
        <w:t>制造</w:t>
      </w:r>
      <w:r w:rsidRPr="005B76A0">
        <w:rPr>
          <w:sz w:val="24"/>
        </w:rPr>
        <w:t>相关</w:t>
      </w:r>
      <w:r w:rsidRPr="005B76A0">
        <w:rPr>
          <w:rFonts w:hint="eastAsia"/>
          <w:sz w:val="24"/>
        </w:rPr>
        <w:t>的</w:t>
      </w:r>
      <w:r w:rsidRPr="005B76A0">
        <w:rPr>
          <w:sz w:val="24"/>
        </w:rPr>
        <w:t>法律、法规、国家与行业标准等的兼容和协调一致，有利于标准的执行</w:t>
      </w:r>
      <w:r w:rsidRPr="005B76A0">
        <w:rPr>
          <w:rFonts w:hint="eastAsia"/>
          <w:sz w:val="24"/>
        </w:rPr>
        <w:t>。</w:t>
      </w:r>
    </w:p>
    <w:p w14:paraId="2E47EBD5" w14:textId="36EAD1A2" w:rsidR="00DD666C" w:rsidRPr="005B76A0" w:rsidRDefault="00084B34" w:rsidP="009E043B">
      <w:pPr>
        <w:autoSpaceDE w:val="0"/>
        <w:autoSpaceDN w:val="0"/>
        <w:adjustRightInd w:val="0"/>
        <w:spacing w:line="440" w:lineRule="exact"/>
        <w:ind w:firstLineChars="200" w:firstLine="480"/>
        <w:rPr>
          <w:kern w:val="0"/>
          <w:sz w:val="24"/>
        </w:rPr>
      </w:pPr>
      <w:r w:rsidRPr="005B76A0">
        <w:rPr>
          <w:rFonts w:hint="eastAsia"/>
          <w:kern w:val="0"/>
          <w:sz w:val="24"/>
        </w:rPr>
        <w:t>（</w:t>
      </w:r>
      <w:r w:rsidRPr="005B76A0">
        <w:rPr>
          <w:rFonts w:hint="eastAsia"/>
          <w:kern w:val="0"/>
          <w:sz w:val="24"/>
        </w:rPr>
        <w:t>2</w:t>
      </w:r>
      <w:r w:rsidRPr="005B76A0">
        <w:rPr>
          <w:rFonts w:hint="eastAsia"/>
          <w:kern w:val="0"/>
          <w:sz w:val="24"/>
        </w:rPr>
        <w:t>）规范性原则：</w:t>
      </w:r>
      <w:r w:rsidRPr="005B76A0">
        <w:rPr>
          <w:sz w:val="24"/>
        </w:rPr>
        <w:t>所述内容具有规范性、科学性、合理性和可行性</w:t>
      </w:r>
      <w:r w:rsidRPr="005B76A0">
        <w:rPr>
          <w:rFonts w:hint="eastAsia"/>
          <w:sz w:val="24"/>
        </w:rPr>
        <w:t>，</w:t>
      </w:r>
      <w:r w:rsidRPr="005B76A0">
        <w:rPr>
          <w:kern w:val="0"/>
          <w:sz w:val="24"/>
        </w:rPr>
        <w:t>涉及的指标力求实用和可操作，尽量选取行业常用</w:t>
      </w:r>
      <w:r w:rsidR="002827C7">
        <w:rPr>
          <w:rFonts w:hint="eastAsia"/>
          <w:kern w:val="0"/>
          <w:sz w:val="24"/>
        </w:rPr>
        <w:t>指标和术语</w:t>
      </w:r>
      <w:r w:rsidRPr="005B76A0">
        <w:rPr>
          <w:kern w:val="0"/>
          <w:sz w:val="24"/>
        </w:rPr>
        <w:t>，便于企业</w:t>
      </w:r>
      <w:r w:rsidR="00E835EC">
        <w:rPr>
          <w:rFonts w:hint="eastAsia"/>
          <w:kern w:val="0"/>
          <w:sz w:val="24"/>
        </w:rPr>
        <w:t>和第三方</w:t>
      </w:r>
      <w:r w:rsidRPr="005B76A0">
        <w:rPr>
          <w:kern w:val="0"/>
          <w:sz w:val="24"/>
        </w:rPr>
        <w:t>人员的理解和掌握。</w:t>
      </w:r>
    </w:p>
    <w:p w14:paraId="182F11CA" w14:textId="45DA94DD" w:rsidR="00DD666C" w:rsidRPr="005B76A0" w:rsidRDefault="00084B34" w:rsidP="009E043B">
      <w:pPr>
        <w:autoSpaceDE w:val="0"/>
        <w:autoSpaceDN w:val="0"/>
        <w:adjustRightInd w:val="0"/>
        <w:spacing w:line="440" w:lineRule="exact"/>
        <w:ind w:firstLineChars="200" w:firstLine="480"/>
        <w:rPr>
          <w:kern w:val="0"/>
          <w:sz w:val="24"/>
        </w:rPr>
      </w:pPr>
      <w:r w:rsidRPr="005B76A0">
        <w:rPr>
          <w:rFonts w:hint="eastAsia"/>
          <w:kern w:val="0"/>
          <w:sz w:val="24"/>
        </w:rPr>
        <w:t>（</w:t>
      </w:r>
      <w:r w:rsidRPr="005B76A0">
        <w:rPr>
          <w:rFonts w:hint="eastAsia"/>
          <w:kern w:val="0"/>
          <w:sz w:val="24"/>
        </w:rPr>
        <w:t>3</w:t>
      </w:r>
      <w:r w:rsidRPr="005B76A0">
        <w:rPr>
          <w:rFonts w:hint="eastAsia"/>
          <w:kern w:val="0"/>
          <w:sz w:val="24"/>
        </w:rPr>
        <w:t>）激励性原则：</w:t>
      </w:r>
      <w:r w:rsidR="002827C7">
        <w:rPr>
          <w:rFonts w:hint="eastAsia"/>
          <w:kern w:val="0"/>
          <w:sz w:val="24"/>
        </w:rPr>
        <w:t>激发企业积极参与碳足迹管理，通过</w:t>
      </w:r>
      <w:r w:rsidR="00301523">
        <w:rPr>
          <w:rFonts w:hint="eastAsia"/>
          <w:kern w:val="0"/>
          <w:sz w:val="24"/>
        </w:rPr>
        <w:t>将节能减排技术应用、废弃物循环利用等纳入量化碳减排目标</w:t>
      </w:r>
      <w:r w:rsidRPr="005B76A0">
        <w:rPr>
          <w:rFonts w:hint="eastAsia"/>
          <w:kern w:val="0"/>
          <w:sz w:val="24"/>
        </w:rPr>
        <w:t>，</w:t>
      </w:r>
      <w:r w:rsidR="00301523">
        <w:rPr>
          <w:rFonts w:hint="eastAsia"/>
          <w:kern w:val="0"/>
          <w:sz w:val="24"/>
        </w:rPr>
        <w:t>推动企业主动采纳低碳工艺、清洁能源，促进行业整体向低碳化转型。</w:t>
      </w:r>
      <w:r w:rsidR="00301523" w:rsidRPr="005B76A0">
        <w:rPr>
          <w:kern w:val="0"/>
          <w:sz w:val="24"/>
        </w:rPr>
        <w:t xml:space="preserve"> </w:t>
      </w:r>
    </w:p>
    <w:p w14:paraId="32EFC509" w14:textId="480D0CC6" w:rsidR="00264AEB" w:rsidRPr="005B76A0" w:rsidRDefault="00264AEB" w:rsidP="00261631">
      <w:pPr>
        <w:pStyle w:val="1"/>
        <w:rPr>
          <w:rFonts w:hint="eastAsia"/>
        </w:rPr>
      </w:pPr>
      <w:r w:rsidRPr="005B76A0">
        <w:rPr>
          <w:rFonts w:hint="eastAsia"/>
        </w:rPr>
        <w:lastRenderedPageBreak/>
        <w:t>三</w:t>
      </w:r>
      <w:r w:rsidRPr="005B76A0">
        <w:t>、标准主要内容的确定</w:t>
      </w:r>
    </w:p>
    <w:p w14:paraId="72379ED0" w14:textId="1AA04F47" w:rsidR="00DD666C" w:rsidRPr="005B76A0" w:rsidRDefault="007C24ED" w:rsidP="00DD3329">
      <w:pPr>
        <w:pStyle w:val="2"/>
      </w:pPr>
      <w:bookmarkStart w:id="3" w:name="_Toc23770164"/>
      <w:bookmarkStart w:id="4" w:name="_Toc23770175"/>
      <w:r w:rsidRPr="005B76A0">
        <w:t>3.</w:t>
      </w:r>
      <w:r w:rsidR="00084B34" w:rsidRPr="005B76A0">
        <w:rPr>
          <w:rFonts w:hint="eastAsia"/>
        </w:rPr>
        <w:t>1</w:t>
      </w:r>
      <w:r w:rsidR="00084B34" w:rsidRPr="005B76A0">
        <w:t>适用范围</w:t>
      </w:r>
      <w:bookmarkEnd w:id="3"/>
    </w:p>
    <w:p w14:paraId="44F7A5D9" w14:textId="316228D8" w:rsidR="00FF52A6" w:rsidRPr="00EF24CE" w:rsidRDefault="00EF24CE" w:rsidP="00FF52A6">
      <w:pPr>
        <w:pStyle w:val="afffffffb"/>
        <w:spacing w:line="440" w:lineRule="exact"/>
        <w:ind w:firstLine="480"/>
        <w:rPr>
          <w:rFonts w:ascii="Times New Roman"/>
          <w:sz w:val="24"/>
          <w:szCs w:val="24"/>
        </w:rPr>
      </w:pPr>
      <w:bookmarkStart w:id="5" w:name="OLE_LINK1"/>
      <w:r w:rsidRPr="00EF24CE">
        <w:rPr>
          <w:rFonts w:ascii="Times New Roman" w:hint="eastAsia"/>
          <w:sz w:val="24"/>
          <w:szCs w:val="24"/>
        </w:rPr>
        <w:t>本文件</w:t>
      </w:r>
      <w:r w:rsidR="00FF52A6">
        <w:rPr>
          <w:rFonts w:ascii="Times New Roman" w:hint="eastAsia"/>
          <w:sz w:val="24"/>
          <w:szCs w:val="24"/>
        </w:rPr>
        <w:t>规定了食品接触用金属容器</w:t>
      </w:r>
      <w:r w:rsidR="00DD3329" w:rsidRPr="00DD3329">
        <w:rPr>
          <w:rFonts w:ascii="Times New Roman" w:hint="eastAsia"/>
          <w:sz w:val="24"/>
          <w:szCs w:val="24"/>
        </w:rPr>
        <w:t>（含盖）</w:t>
      </w:r>
      <w:r w:rsidR="00FF52A6">
        <w:rPr>
          <w:rFonts w:ascii="Times New Roman" w:hint="eastAsia"/>
          <w:sz w:val="24"/>
          <w:szCs w:val="24"/>
        </w:rPr>
        <w:t>产品碳足迹量化与评价方法，规定了产品碳足迹</w:t>
      </w:r>
      <w:r w:rsidR="003777CA" w:rsidRPr="003777CA">
        <w:rPr>
          <w:rFonts w:ascii="Times New Roman" w:hint="eastAsia"/>
          <w:sz w:val="24"/>
          <w:szCs w:val="24"/>
        </w:rPr>
        <w:t>量化目的、量化范围、清单分析、影响评价、结果解释、产品碳足迹报告的要求</w:t>
      </w:r>
      <w:r w:rsidR="00A72195">
        <w:rPr>
          <w:rFonts w:ascii="Times New Roman" w:hint="eastAsia"/>
          <w:sz w:val="24"/>
          <w:szCs w:val="24"/>
        </w:rPr>
        <w:t>。</w:t>
      </w:r>
    </w:p>
    <w:p w14:paraId="3C720DF8" w14:textId="0CCF3048" w:rsidR="00466631" w:rsidRDefault="00A72195" w:rsidP="00EF24CE">
      <w:pPr>
        <w:pStyle w:val="afffffffb"/>
        <w:spacing w:line="440" w:lineRule="exact"/>
        <w:ind w:firstLine="480"/>
        <w:rPr>
          <w:rFonts w:ascii="Times New Roman"/>
          <w:sz w:val="24"/>
          <w:szCs w:val="24"/>
        </w:rPr>
      </w:pPr>
      <w:r>
        <w:rPr>
          <w:rFonts w:ascii="Times New Roman" w:hint="eastAsia"/>
          <w:sz w:val="24"/>
          <w:szCs w:val="24"/>
        </w:rPr>
        <w:t>本文件适用于食品接触用金属容器</w:t>
      </w:r>
      <w:r w:rsidR="00DD3329" w:rsidRPr="00DD3329">
        <w:rPr>
          <w:rFonts w:ascii="Times New Roman" w:hint="eastAsia"/>
          <w:sz w:val="24"/>
          <w:szCs w:val="24"/>
        </w:rPr>
        <w:t>（含盖）</w:t>
      </w:r>
      <w:r>
        <w:rPr>
          <w:rFonts w:ascii="Times New Roman" w:hint="eastAsia"/>
          <w:sz w:val="24"/>
          <w:szCs w:val="24"/>
        </w:rPr>
        <w:t>产品碳足迹评价。</w:t>
      </w:r>
    </w:p>
    <w:p w14:paraId="1D31939A" w14:textId="527EC641" w:rsidR="00222CD6" w:rsidRPr="00222CD6" w:rsidRDefault="00222CD6" w:rsidP="00EF24CE">
      <w:pPr>
        <w:pStyle w:val="afffffffb"/>
        <w:spacing w:line="440" w:lineRule="exact"/>
        <w:ind w:firstLine="480"/>
        <w:rPr>
          <w:rFonts w:ascii="Times New Roman"/>
          <w:sz w:val="24"/>
          <w:szCs w:val="24"/>
        </w:rPr>
      </w:pPr>
      <w:r>
        <w:rPr>
          <w:rFonts w:ascii="Times New Roman" w:hint="eastAsia"/>
          <w:sz w:val="24"/>
          <w:szCs w:val="24"/>
        </w:rPr>
        <w:t>由于</w:t>
      </w:r>
      <w:r w:rsidR="006309B0">
        <w:rPr>
          <w:rFonts w:ascii="Times New Roman" w:hint="eastAsia"/>
          <w:sz w:val="24"/>
          <w:szCs w:val="24"/>
        </w:rPr>
        <w:t>食品接触用</w:t>
      </w:r>
      <w:r w:rsidR="00C53F0B">
        <w:rPr>
          <w:rFonts w:ascii="Times New Roman" w:hint="eastAsia"/>
          <w:sz w:val="24"/>
          <w:szCs w:val="24"/>
        </w:rPr>
        <w:t>金属容器所包含的</w:t>
      </w:r>
      <w:r w:rsidR="006309B0">
        <w:rPr>
          <w:rFonts w:ascii="Times New Roman" w:hint="eastAsia"/>
          <w:sz w:val="24"/>
          <w:szCs w:val="24"/>
        </w:rPr>
        <w:t>金属罐（瓶）身和金属罐（瓶）</w:t>
      </w:r>
      <w:r w:rsidR="007E3D03">
        <w:rPr>
          <w:rFonts w:ascii="Times New Roman" w:hint="eastAsia"/>
          <w:sz w:val="24"/>
          <w:szCs w:val="24"/>
        </w:rPr>
        <w:t>盖</w:t>
      </w:r>
      <w:r>
        <w:rPr>
          <w:rFonts w:ascii="Times New Roman" w:hint="eastAsia"/>
          <w:sz w:val="24"/>
          <w:szCs w:val="24"/>
        </w:rPr>
        <w:t>加工工艺和质量要求不同，通常在不同工厂中生产，</w:t>
      </w:r>
      <w:r w:rsidR="00C53F0B">
        <w:rPr>
          <w:rFonts w:ascii="Times New Roman" w:hint="eastAsia"/>
          <w:sz w:val="24"/>
          <w:szCs w:val="24"/>
        </w:rPr>
        <w:t>在明确产品碳足迹目的的情况下，本文件也适用于单独对金属罐（瓶）身</w:t>
      </w:r>
      <w:r w:rsidR="006309B0">
        <w:rPr>
          <w:rFonts w:ascii="Times New Roman" w:hint="eastAsia"/>
          <w:sz w:val="24"/>
          <w:szCs w:val="24"/>
        </w:rPr>
        <w:t>或金属罐（瓶）盖</w:t>
      </w:r>
      <w:r w:rsidR="00C53F0B">
        <w:rPr>
          <w:rFonts w:ascii="Times New Roman" w:hint="eastAsia"/>
          <w:sz w:val="24"/>
          <w:szCs w:val="24"/>
        </w:rPr>
        <w:t>进行产品碳足迹评价</w:t>
      </w:r>
      <w:r>
        <w:rPr>
          <w:rFonts w:ascii="Times New Roman" w:hint="eastAsia"/>
          <w:sz w:val="24"/>
          <w:szCs w:val="24"/>
        </w:rPr>
        <w:t>。</w:t>
      </w:r>
    </w:p>
    <w:p w14:paraId="01054B98" w14:textId="20BD5BED" w:rsidR="00DD666C" w:rsidRPr="005B76A0" w:rsidRDefault="007C24ED" w:rsidP="00DD3329">
      <w:pPr>
        <w:pStyle w:val="2"/>
      </w:pPr>
      <w:bookmarkStart w:id="6" w:name="_Toc23770165"/>
      <w:bookmarkEnd w:id="5"/>
      <w:r w:rsidRPr="005B76A0">
        <w:t>3.</w:t>
      </w:r>
      <w:r w:rsidR="00084B34" w:rsidRPr="005B76A0">
        <w:rPr>
          <w:rFonts w:hint="eastAsia"/>
        </w:rPr>
        <w:t>2</w:t>
      </w:r>
      <w:r w:rsidR="00084B34" w:rsidRPr="005B76A0">
        <w:rPr>
          <w:rFonts w:hint="eastAsia"/>
        </w:rPr>
        <w:t>规范性引用文件</w:t>
      </w:r>
      <w:bookmarkEnd w:id="6"/>
    </w:p>
    <w:p w14:paraId="4331ACCF" w14:textId="5115804B" w:rsidR="00DD666C" w:rsidRDefault="00084B34">
      <w:pPr>
        <w:autoSpaceDE w:val="0"/>
        <w:autoSpaceDN w:val="0"/>
        <w:adjustRightInd w:val="0"/>
        <w:spacing w:line="440" w:lineRule="exact"/>
        <w:ind w:firstLineChars="200" w:firstLine="480"/>
        <w:jc w:val="left"/>
        <w:rPr>
          <w:kern w:val="0"/>
          <w:sz w:val="24"/>
        </w:rPr>
      </w:pPr>
      <w:r w:rsidRPr="005B76A0">
        <w:rPr>
          <w:rFonts w:hint="eastAsia"/>
          <w:kern w:val="0"/>
          <w:sz w:val="24"/>
        </w:rPr>
        <w:t>给出了本标准引用的有关文件。</w:t>
      </w:r>
    </w:p>
    <w:p w14:paraId="685902BA" w14:textId="77777777" w:rsidR="007C330F" w:rsidRPr="007C330F" w:rsidRDefault="007C330F" w:rsidP="007C330F">
      <w:pPr>
        <w:autoSpaceDE w:val="0"/>
        <w:autoSpaceDN w:val="0"/>
        <w:adjustRightInd w:val="0"/>
        <w:spacing w:line="440" w:lineRule="exact"/>
        <w:ind w:firstLineChars="200" w:firstLine="480"/>
        <w:jc w:val="left"/>
        <w:rPr>
          <w:kern w:val="0"/>
          <w:sz w:val="24"/>
        </w:rPr>
      </w:pPr>
      <w:r w:rsidRPr="007C330F">
        <w:rPr>
          <w:rFonts w:hint="eastAsia"/>
          <w:kern w:val="0"/>
          <w:sz w:val="24"/>
        </w:rPr>
        <w:t xml:space="preserve">GB/T 24040-2008 </w:t>
      </w:r>
      <w:r w:rsidRPr="007C330F">
        <w:rPr>
          <w:rFonts w:hint="eastAsia"/>
          <w:kern w:val="0"/>
          <w:sz w:val="24"/>
        </w:rPr>
        <w:t>环境管理</w:t>
      </w:r>
      <w:r w:rsidRPr="007C330F">
        <w:rPr>
          <w:rFonts w:hint="eastAsia"/>
          <w:kern w:val="0"/>
          <w:sz w:val="24"/>
        </w:rPr>
        <w:t xml:space="preserve"> </w:t>
      </w:r>
      <w:r w:rsidRPr="007C330F">
        <w:rPr>
          <w:rFonts w:hint="eastAsia"/>
          <w:kern w:val="0"/>
          <w:sz w:val="24"/>
        </w:rPr>
        <w:t>生命周期评价</w:t>
      </w:r>
      <w:r w:rsidRPr="007C330F">
        <w:rPr>
          <w:rFonts w:hint="eastAsia"/>
          <w:kern w:val="0"/>
          <w:sz w:val="24"/>
        </w:rPr>
        <w:t xml:space="preserve"> </w:t>
      </w:r>
      <w:r w:rsidRPr="007C330F">
        <w:rPr>
          <w:rFonts w:hint="eastAsia"/>
          <w:kern w:val="0"/>
          <w:sz w:val="24"/>
        </w:rPr>
        <w:t>原则与框架</w:t>
      </w:r>
    </w:p>
    <w:p w14:paraId="39CA76EF" w14:textId="77777777" w:rsidR="007C330F" w:rsidRPr="007C330F" w:rsidRDefault="007C330F" w:rsidP="007C330F">
      <w:pPr>
        <w:autoSpaceDE w:val="0"/>
        <w:autoSpaceDN w:val="0"/>
        <w:adjustRightInd w:val="0"/>
        <w:spacing w:line="440" w:lineRule="exact"/>
        <w:ind w:firstLineChars="200" w:firstLine="480"/>
        <w:jc w:val="left"/>
        <w:rPr>
          <w:kern w:val="0"/>
          <w:sz w:val="24"/>
        </w:rPr>
      </w:pPr>
      <w:r w:rsidRPr="007C330F">
        <w:rPr>
          <w:rFonts w:hint="eastAsia"/>
          <w:kern w:val="0"/>
          <w:sz w:val="24"/>
        </w:rPr>
        <w:t xml:space="preserve">GB/T 24044-2008 </w:t>
      </w:r>
      <w:r w:rsidRPr="007C330F">
        <w:rPr>
          <w:rFonts w:hint="eastAsia"/>
          <w:kern w:val="0"/>
          <w:sz w:val="24"/>
        </w:rPr>
        <w:t>环境管理</w:t>
      </w:r>
      <w:r w:rsidRPr="007C330F">
        <w:rPr>
          <w:rFonts w:hint="eastAsia"/>
          <w:kern w:val="0"/>
          <w:sz w:val="24"/>
        </w:rPr>
        <w:t xml:space="preserve"> </w:t>
      </w:r>
      <w:r w:rsidRPr="007C330F">
        <w:rPr>
          <w:rFonts w:hint="eastAsia"/>
          <w:kern w:val="0"/>
          <w:sz w:val="24"/>
        </w:rPr>
        <w:t>生命周期评价</w:t>
      </w:r>
      <w:r w:rsidRPr="007C330F">
        <w:rPr>
          <w:rFonts w:hint="eastAsia"/>
          <w:kern w:val="0"/>
          <w:sz w:val="24"/>
        </w:rPr>
        <w:t xml:space="preserve"> </w:t>
      </w:r>
      <w:r w:rsidRPr="007C330F">
        <w:rPr>
          <w:rFonts w:hint="eastAsia"/>
          <w:kern w:val="0"/>
          <w:sz w:val="24"/>
        </w:rPr>
        <w:t>要求与指南</w:t>
      </w:r>
    </w:p>
    <w:p w14:paraId="27416EBD" w14:textId="77777777" w:rsidR="007C330F" w:rsidRPr="007C330F" w:rsidRDefault="007C330F" w:rsidP="007C330F">
      <w:pPr>
        <w:autoSpaceDE w:val="0"/>
        <w:autoSpaceDN w:val="0"/>
        <w:adjustRightInd w:val="0"/>
        <w:spacing w:line="440" w:lineRule="exact"/>
        <w:ind w:firstLineChars="200" w:firstLine="480"/>
        <w:jc w:val="left"/>
        <w:rPr>
          <w:kern w:val="0"/>
          <w:sz w:val="24"/>
        </w:rPr>
      </w:pPr>
      <w:r w:rsidRPr="007C330F">
        <w:rPr>
          <w:rFonts w:hint="eastAsia"/>
          <w:kern w:val="0"/>
          <w:sz w:val="24"/>
        </w:rPr>
        <w:t xml:space="preserve">GB/T 24067-2024 </w:t>
      </w:r>
      <w:r w:rsidRPr="007C330F">
        <w:rPr>
          <w:rFonts w:hint="eastAsia"/>
          <w:kern w:val="0"/>
          <w:sz w:val="24"/>
        </w:rPr>
        <w:t>温室气体</w:t>
      </w:r>
      <w:r w:rsidRPr="007C330F">
        <w:rPr>
          <w:rFonts w:hint="eastAsia"/>
          <w:kern w:val="0"/>
          <w:sz w:val="24"/>
        </w:rPr>
        <w:t xml:space="preserve"> </w:t>
      </w:r>
      <w:r w:rsidRPr="007C330F">
        <w:rPr>
          <w:rFonts w:hint="eastAsia"/>
          <w:kern w:val="0"/>
          <w:sz w:val="24"/>
        </w:rPr>
        <w:t>产品碳足迹</w:t>
      </w:r>
      <w:r w:rsidRPr="007C330F">
        <w:rPr>
          <w:rFonts w:hint="eastAsia"/>
          <w:kern w:val="0"/>
          <w:sz w:val="24"/>
        </w:rPr>
        <w:t xml:space="preserve"> </w:t>
      </w:r>
      <w:r w:rsidRPr="007C330F">
        <w:rPr>
          <w:rFonts w:hint="eastAsia"/>
          <w:kern w:val="0"/>
          <w:sz w:val="24"/>
        </w:rPr>
        <w:t>量化要求和指南</w:t>
      </w:r>
    </w:p>
    <w:p w14:paraId="63BF4994" w14:textId="0A41C05A" w:rsidR="00DD666C" w:rsidRPr="005B76A0" w:rsidRDefault="007C24ED" w:rsidP="00DD3329">
      <w:pPr>
        <w:pStyle w:val="2"/>
      </w:pPr>
      <w:bookmarkStart w:id="7" w:name="_Toc23770166"/>
      <w:r w:rsidRPr="005B76A0">
        <w:t>3.</w:t>
      </w:r>
      <w:r w:rsidR="00084B34" w:rsidRPr="005B76A0">
        <w:rPr>
          <w:rFonts w:hint="eastAsia"/>
        </w:rPr>
        <w:t>3</w:t>
      </w:r>
      <w:r w:rsidR="00084B34" w:rsidRPr="005B76A0">
        <w:rPr>
          <w:rFonts w:hint="eastAsia"/>
        </w:rPr>
        <w:t>术语和定义</w:t>
      </w:r>
      <w:bookmarkEnd w:id="7"/>
    </w:p>
    <w:p w14:paraId="3C76A9E7" w14:textId="6154E500" w:rsidR="00DD666C" w:rsidRDefault="00084B34" w:rsidP="00335641">
      <w:pPr>
        <w:autoSpaceDE w:val="0"/>
        <w:autoSpaceDN w:val="0"/>
        <w:adjustRightInd w:val="0"/>
        <w:spacing w:line="440" w:lineRule="exact"/>
        <w:ind w:firstLineChars="200" w:firstLine="480"/>
        <w:rPr>
          <w:kern w:val="0"/>
          <w:sz w:val="24"/>
        </w:rPr>
      </w:pPr>
      <w:r w:rsidRPr="005B76A0">
        <w:rPr>
          <w:kern w:val="0"/>
          <w:sz w:val="24"/>
        </w:rPr>
        <w:t>给出了</w:t>
      </w:r>
      <w:r w:rsidR="00843491">
        <w:rPr>
          <w:rFonts w:hint="eastAsia"/>
          <w:kern w:val="0"/>
          <w:sz w:val="24"/>
        </w:rPr>
        <w:t>食品接触用金属容器、产品碳足迹、生命周期、</w:t>
      </w:r>
      <w:r w:rsidR="00E37792">
        <w:rPr>
          <w:rFonts w:hint="eastAsia"/>
          <w:kern w:val="0"/>
          <w:sz w:val="24"/>
        </w:rPr>
        <w:t>温室气体以及与产品碳足迹评价相关的术语和定义。</w:t>
      </w:r>
    </w:p>
    <w:p w14:paraId="023B3585" w14:textId="1E6849E3" w:rsidR="00E37792" w:rsidRPr="005B76A0" w:rsidRDefault="00E37792" w:rsidP="00335641">
      <w:pPr>
        <w:autoSpaceDE w:val="0"/>
        <w:autoSpaceDN w:val="0"/>
        <w:adjustRightInd w:val="0"/>
        <w:spacing w:line="440" w:lineRule="exact"/>
        <w:ind w:firstLineChars="200" w:firstLine="480"/>
        <w:rPr>
          <w:kern w:val="0"/>
          <w:sz w:val="24"/>
        </w:rPr>
      </w:pPr>
      <w:r>
        <w:rPr>
          <w:rFonts w:hint="eastAsia"/>
          <w:kern w:val="0"/>
          <w:sz w:val="24"/>
        </w:rPr>
        <w:t>术语“食品接触用金属容器”的定义参考了国家标准《食品安全国家标准</w:t>
      </w:r>
      <w:r w:rsidR="004005A4">
        <w:rPr>
          <w:rFonts w:hint="eastAsia"/>
          <w:kern w:val="0"/>
          <w:sz w:val="24"/>
        </w:rPr>
        <w:t xml:space="preserve"> </w:t>
      </w:r>
      <w:r>
        <w:rPr>
          <w:rFonts w:hint="eastAsia"/>
          <w:kern w:val="0"/>
          <w:sz w:val="24"/>
        </w:rPr>
        <w:t>食品接触用金属材料及制品》</w:t>
      </w:r>
      <w:r w:rsidR="004005A4">
        <w:rPr>
          <w:rFonts w:hint="eastAsia"/>
          <w:kern w:val="0"/>
          <w:sz w:val="24"/>
        </w:rPr>
        <w:t>（</w:t>
      </w:r>
      <w:r w:rsidR="004005A4">
        <w:rPr>
          <w:rFonts w:hint="eastAsia"/>
          <w:kern w:val="0"/>
          <w:sz w:val="24"/>
        </w:rPr>
        <w:t>GB 4806.9-2023</w:t>
      </w:r>
      <w:r w:rsidR="004005A4">
        <w:rPr>
          <w:rFonts w:hint="eastAsia"/>
          <w:kern w:val="0"/>
          <w:sz w:val="24"/>
        </w:rPr>
        <w:t>）</w:t>
      </w:r>
      <w:r w:rsidR="00703237">
        <w:rPr>
          <w:rFonts w:hint="eastAsia"/>
          <w:kern w:val="0"/>
          <w:sz w:val="24"/>
        </w:rPr>
        <w:t>中“</w:t>
      </w:r>
      <w:r w:rsidR="00703237">
        <w:rPr>
          <w:rFonts w:hint="eastAsia"/>
          <w:kern w:val="0"/>
          <w:sz w:val="24"/>
        </w:rPr>
        <w:t xml:space="preserve">2.1 </w:t>
      </w:r>
      <w:r w:rsidR="00703237">
        <w:rPr>
          <w:rFonts w:hint="eastAsia"/>
          <w:kern w:val="0"/>
          <w:sz w:val="24"/>
        </w:rPr>
        <w:t>食品接触用金属材料及制品”的定义“在正常使用条件下，预期或已经与食品接触的各种金属（包括各种金属镀层及合金）材料及制品”</w:t>
      </w:r>
      <w:r w:rsidR="00611087">
        <w:rPr>
          <w:rFonts w:hint="eastAsia"/>
          <w:kern w:val="0"/>
          <w:sz w:val="24"/>
        </w:rPr>
        <w:t>；引用国家标准《温室气体</w:t>
      </w:r>
      <w:r w:rsidR="00611087">
        <w:rPr>
          <w:rFonts w:hint="eastAsia"/>
          <w:kern w:val="0"/>
          <w:sz w:val="24"/>
        </w:rPr>
        <w:t xml:space="preserve"> </w:t>
      </w:r>
      <w:r w:rsidR="00611087">
        <w:rPr>
          <w:rFonts w:hint="eastAsia"/>
          <w:kern w:val="0"/>
          <w:sz w:val="24"/>
        </w:rPr>
        <w:t>产品碳足迹</w:t>
      </w:r>
      <w:r w:rsidR="00611087">
        <w:rPr>
          <w:rFonts w:hint="eastAsia"/>
          <w:kern w:val="0"/>
          <w:sz w:val="24"/>
        </w:rPr>
        <w:t xml:space="preserve"> </w:t>
      </w:r>
      <w:r w:rsidR="00611087">
        <w:rPr>
          <w:rFonts w:hint="eastAsia"/>
          <w:kern w:val="0"/>
          <w:sz w:val="24"/>
        </w:rPr>
        <w:t>量化要求和指南》（</w:t>
      </w:r>
      <w:r w:rsidR="00611087">
        <w:rPr>
          <w:rFonts w:hint="eastAsia"/>
          <w:kern w:val="0"/>
          <w:sz w:val="24"/>
        </w:rPr>
        <w:t>GB/T 24067-2024</w:t>
      </w:r>
      <w:r w:rsidR="00611087">
        <w:rPr>
          <w:rFonts w:hint="eastAsia"/>
          <w:kern w:val="0"/>
          <w:sz w:val="24"/>
        </w:rPr>
        <w:t>）规定的</w:t>
      </w:r>
      <w:r w:rsidR="00DD3329">
        <w:rPr>
          <w:rFonts w:hint="eastAsia"/>
          <w:kern w:val="0"/>
          <w:sz w:val="24"/>
        </w:rPr>
        <w:t>“温室气体”</w:t>
      </w:r>
      <w:r w:rsidR="00703237">
        <w:rPr>
          <w:rFonts w:hint="eastAsia"/>
          <w:kern w:val="0"/>
          <w:sz w:val="24"/>
        </w:rPr>
        <w:t>“</w:t>
      </w:r>
      <w:r w:rsidR="00703237" w:rsidRPr="004A0D30">
        <w:rPr>
          <w:rFonts w:hint="eastAsia"/>
          <w:kern w:val="0"/>
          <w:sz w:val="24"/>
        </w:rPr>
        <w:t>生命周期</w:t>
      </w:r>
      <w:r w:rsidR="00703237">
        <w:rPr>
          <w:rFonts w:hint="eastAsia"/>
          <w:kern w:val="0"/>
          <w:sz w:val="24"/>
        </w:rPr>
        <w:t>”</w:t>
      </w:r>
      <w:r w:rsidR="00611087">
        <w:rPr>
          <w:rFonts w:hint="eastAsia"/>
          <w:kern w:val="0"/>
          <w:sz w:val="24"/>
        </w:rPr>
        <w:t>“产品碳足迹”</w:t>
      </w:r>
      <w:r w:rsidR="004A0D30">
        <w:rPr>
          <w:rFonts w:hint="eastAsia"/>
          <w:kern w:val="0"/>
          <w:sz w:val="24"/>
        </w:rPr>
        <w:t>“</w:t>
      </w:r>
      <w:r w:rsidR="004A0D30" w:rsidRPr="004A0D30">
        <w:rPr>
          <w:rFonts w:hint="eastAsia"/>
          <w:kern w:val="0"/>
          <w:sz w:val="24"/>
        </w:rPr>
        <w:t>系统边界</w:t>
      </w:r>
      <w:r w:rsidR="004A0D30">
        <w:rPr>
          <w:rFonts w:hint="eastAsia"/>
          <w:kern w:val="0"/>
          <w:sz w:val="24"/>
        </w:rPr>
        <w:t>”</w:t>
      </w:r>
      <w:r w:rsidR="00703237">
        <w:rPr>
          <w:rFonts w:hint="eastAsia"/>
          <w:kern w:val="0"/>
          <w:sz w:val="24"/>
        </w:rPr>
        <w:t>“初级数据”“现场数据”“次级数据”</w:t>
      </w:r>
      <w:r w:rsidR="004A0D30">
        <w:rPr>
          <w:rFonts w:hint="eastAsia"/>
          <w:kern w:val="0"/>
          <w:sz w:val="24"/>
        </w:rPr>
        <w:t>“</w:t>
      </w:r>
      <w:r w:rsidR="004A0D30" w:rsidRPr="004A0D30">
        <w:rPr>
          <w:rFonts w:hint="eastAsia"/>
          <w:kern w:val="0"/>
          <w:sz w:val="24"/>
        </w:rPr>
        <w:t>二氧化碳当量</w:t>
      </w:r>
      <w:r w:rsidR="004A0D30">
        <w:rPr>
          <w:rFonts w:hint="eastAsia"/>
          <w:kern w:val="0"/>
          <w:sz w:val="24"/>
        </w:rPr>
        <w:t>”</w:t>
      </w:r>
      <w:r w:rsidR="00703237">
        <w:rPr>
          <w:rFonts w:hint="eastAsia"/>
          <w:kern w:val="0"/>
          <w:sz w:val="24"/>
        </w:rPr>
        <w:t>“全球变暖潜势”</w:t>
      </w:r>
      <w:r w:rsidR="004A0D30">
        <w:rPr>
          <w:rFonts w:hint="eastAsia"/>
          <w:kern w:val="0"/>
          <w:sz w:val="24"/>
        </w:rPr>
        <w:t>术语定义；</w:t>
      </w:r>
      <w:r w:rsidR="00446FDF">
        <w:rPr>
          <w:rFonts w:hint="eastAsia"/>
          <w:kern w:val="0"/>
          <w:sz w:val="24"/>
        </w:rPr>
        <w:t>引用国家标准《环境管理</w:t>
      </w:r>
      <w:r w:rsidR="00446FDF">
        <w:rPr>
          <w:rFonts w:hint="eastAsia"/>
          <w:kern w:val="0"/>
          <w:sz w:val="24"/>
        </w:rPr>
        <w:t xml:space="preserve"> </w:t>
      </w:r>
      <w:r w:rsidR="00446FDF">
        <w:rPr>
          <w:rFonts w:hint="eastAsia"/>
          <w:kern w:val="0"/>
          <w:sz w:val="24"/>
        </w:rPr>
        <w:t>生命周期评价</w:t>
      </w:r>
      <w:r w:rsidR="00446FDF">
        <w:rPr>
          <w:rFonts w:hint="eastAsia"/>
          <w:kern w:val="0"/>
          <w:sz w:val="24"/>
        </w:rPr>
        <w:t xml:space="preserve"> </w:t>
      </w:r>
      <w:r w:rsidR="00446FDF">
        <w:rPr>
          <w:rFonts w:hint="eastAsia"/>
          <w:kern w:val="0"/>
          <w:sz w:val="24"/>
        </w:rPr>
        <w:t>原则与框架》（</w:t>
      </w:r>
      <w:r w:rsidR="00446FDF">
        <w:rPr>
          <w:rFonts w:hint="eastAsia"/>
          <w:kern w:val="0"/>
          <w:sz w:val="24"/>
        </w:rPr>
        <w:t>GB/T 24040-2008</w:t>
      </w:r>
      <w:r w:rsidR="00446FDF">
        <w:rPr>
          <w:rFonts w:hint="eastAsia"/>
          <w:kern w:val="0"/>
          <w:sz w:val="24"/>
        </w:rPr>
        <w:t>）规定的“</w:t>
      </w:r>
      <w:r w:rsidR="00363FA8">
        <w:rPr>
          <w:rFonts w:hint="eastAsia"/>
          <w:kern w:val="0"/>
          <w:sz w:val="24"/>
        </w:rPr>
        <w:t>声明单位</w:t>
      </w:r>
      <w:r w:rsidR="00446FDF">
        <w:rPr>
          <w:rFonts w:hint="eastAsia"/>
          <w:kern w:val="0"/>
          <w:sz w:val="24"/>
        </w:rPr>
        <w:t>”术语定义；</w:t>
      </w:r>
      <w:r w:rsidR="004A0D30">
        <w:rPr>
          <w:rFonts w:hint="eastAsia"/>
          <w:kern w:val="0"/>
          <w:sz w:val="24"/>
        </w:rPr>
        <w:t>引用国家标准《</w:t>
      </w:r>
      <w:r w:rsidR="004A0D30" w:rsidRPr="004A0D30">
        <w:rPr>
          <w:rFonts w:hint="eastAsia"/>
          <w:kern w:val="0"/>
          <w:sz w:val="24"/>
        </w:rPr>
        <w:t>环境管理</w:t>
      </w:r>
      <w:r w:rsidR="004A0D30" w:rsidRPr="004A0D30">
        <w:rPr>
          <w:rFonts w:hint="eastAsia"/>
          <w:kern w:val="0"/>
          <w:sz w:val="24"/>
        </w:rPr>
        <w:t xml:space="preserve"> </w:t>
      </w:r>
      <w:r w:rsidR="004A0D30" w:rsidRPr="004A0D30">
        <w:rPr>
          <w:rFonts w:hint="eastAsia"/>
          <w:kern w:val="0"/>
          <w:sz w:val="24"/>
        </w:rPr>
        <w:t>生命周期评价</w:t>
      </w:r>
      <w:r w:rsidR="004A0D30" w:rsidRPr="004A0D30">
        <w:rPr>
          <w:rFonts w:hint="eastAsia"/>
          <w:kern w:val="0"/>
          <w:sz w:val="24"/>
        </w:rPr>
        <w:t xml:space="preserve"> </w:t>
      </w:r>
      <w:r w:rsidR="004A0D30" w:rsidRPr="004A0D30">
        <w:rPr>
          <w:rFonts w:hint="eastAsia"/>
          <w:kern w:val="0"/>
          <w:sz w:val="24"/>
        </w:rPr>
        <w:t>要求与指南</w:t>
      </w:r>
      <w:r w:rsidR="004A0D30">
        <w:rPr>
          <w:rFonts w:hint="eastAsia"/>
          <w:kern w:val="0"/>
          <w:sz w:val="24"/>
        </w:rPr>
        <w:t>》（</w:t>
      </w:r>
      <w:r w:rsidR="004A0D30">
        <w:rPr>
          <w:rFonts w:hint="eastAsia"/>
          <w:kern w:val="0"/>
          <w:sz w:val="24"/>
        </w:rPr>
        <w:t>GB/T 24044-2008</w:t>
      </w:r>
      <w:r w:rsidR="004A0D30">
        <w:rPr>
          <w:rFonts w:hint="eastAsia"/>
          <w:kern w:val="0"/>
          <w:sz w:val="24"/>
        </w:rPr>
        <w:t>）规定的</w:t>
      </w:r>
      <w:r w:rsidR="00446FDF" w:rsidDel="00446FDF">
        <w:rPr>
          <w:rFonts w:hint="eastAsia"/>
          <w:kern w:val="0"/>
          <w:sz w:val="24"/>
        </w:rPr>
        <w:t xml:space="preserve"> </w:t>
      </w:r>
      <w:r w:rsidR="004A0D30">
        <w:rPr>
          <w:rFonts w:hint="eastAsia"/>
          <w:kern w:val="0"/>
          <w:sz w:val="24"/>
        </w:rPr>
        <w:t>“单元过程”</w:t>
      </w:r>
      <w:r w:rsidR="00446FDF">
        <w:rPr>
          <w:rFonts w:hint="eastAsia"/>
          <w:kern w:val="0"/>
          <w:sz w:val="24"/>
        </w:rPr>
        <w:t>“取舍准则”</w:t>
      </w:r>
      <w:r w:rsidR="004A0D30">
        <w:rPr>
          <w:rFonts w:hint="eastAsia"/>
          <w:kern w:val="0"/>
          <w:sz w:val="24"/>
        </w:rPr>
        <w:t>“分配”术语定义。</w:t>
      </w:r>
    </w:p>
    <w:p w14:paraId="2F60D56A" w14:textId="55A7B0A3" w:rsidR="00DD666C" w:rsidRPr="005B76A0" w:rsidRDefault="007C24ED" w:rsidP="00DD3329">
      <w:pPr>
        <w:pStyle w:val="2"/>
      </w:pPr>
      <w:bookmarkStart w:id="8" w:name="_Toc23770167"/>
      <w:r w:rsidRPr="005B76A0">
        <w:lastRenderedPageBreak/>
        <w:t>3.</w:t>
      </w:r>
      <w:r w:rsidR="00084B34" w:rsidRPr="005B76A0">
        <w:rPr>
          <w:rFonts w:hint="eastAsia"/>
        </w:rPr>
        <w:t>4</w:t>
      </w:r>
      <w:r w:rsidR="00084B34" w:rsidRPr="005B76A0">
        <w:rPr>
          <w:rFonts w:hint="eastAsia"/>
        </w:rPr>
        <w:t>评价</w:t>
      </w:r>
      <w:bookmarkEnd w:id="8"/>
      <w:r w:rsidR="00CB0729">
        <w:rPr>
          <w:rFonts w:hint="eastAsia"/>
        </w:rPr>
        <w:t>原则</w:t>
      </w:r>
    </w:p>
    <w:p w14:paraId="7FBE3A01" w14:textId="38A22F0F" w:rsidR="00DD666C" w:rsidRPr="005B76A0" w:rsidRDefault="00CB0729" w:rsidP="00CB0729">
      <w:pPr>
        <w:spacing w:line="360" w:lineRule="auto"/>
        <w:ind w:firstLineChars="200" w:firstLine="480"/>
        <w:rPr>
          <w:kern w:val="0"/>
          <w:sz w:val="24"/>
        </w:rPr>
      </w:pPr>
      <w:r>
        <w:rPr>
          <w:rFonts w:hint="eastAsia"/>
          <w:kern w:val="0"/>
          <w:sz w:val="24"/>
        </w:rPr>
        <w:t>食品接触用金属容器产品碳足迹评价</w:t>
      </w:r>
      <w:r w:rsidR="006309B0">
        <w:rPr>
          <w:rFonts w:hint="eastAsia"/>
          <w:kern w:val="0"/>
          <w:sz w:val="24"/>
        </w:rPr>
        <w:t>应</w:t>
      </w:r>
      <w:r>
        <w:rPr>
          <w:rFonts w:hint="eastAsia"/>
          <w:kern w:val="0"/>
          <w:sz w:val="24"/>
        </w:rPr>
        <w:t>满足本标准</w:t>
      </w:r>
      <w:r w:rsidR="00C1340F">
        <w:rPr>
          <w:rFonts w:hint="eastAsia"/>
          <w:kern w:val="0"/>
          <w:sz w:val="24"/>
        </w:rPr>
        <w:t>提出的原则。基于对产品生命周期的考量，</w:t>
      </w:r>
      <w:r w:rsidR="006D3135">
        <w:rPr>
          <w:rFonts w:hint="eastAsia"/>
          <w:kern w:val="0"/>
          <w:sz w:val="24"/>
        </w:rPr>
        <w:t>完整性原则强调将所有对产品系统有实质性影响的温室气体排放与清除均涵盖在内，不遗漏关键环节；相关性原则确保精准选取适配产品碳足迹评估的温室气体排放源、汇及量化方法；准确性原则在最大程度上削减产品碳足迹评价环节中可能出现的误差与不确定性；真实性原则确保所收集的数据如实反映实际情况，精准呈现产品真实温室气体排放状况；一致性原则要求在整个评价过程中，</w:t>
      </w:r>
      <w:r w:rsidR="00F645B1">
        <w:rPr>
          <w:rFonts w:hint="eastAsia"/>
          <w:kern w:val="0"/>
          <w:sz w:val="24"/>
        </w:rPr>
        <w:t>所运用的假设、方法以及数据始终保持统一标准，以便于预期使用者能够便捷、有效地对不同产品的温室气体信息展开有意义的对比分析；透明性原则力求让评价过程中的各类假设、方法以及数据来源都透明清晰，能够通过第三方的核验和公开披露；公正性原则</w:t>
      </w:r>
      <w:r w:rsidR="002664C7">
        <w:rPr>
          <w:rFonts w:hint="eastAsia"/>
          <w:kern w:val="0"/>
          <w:sz w:val="24"/>
        </w:rPr>
        <w:t>确保产品碳足迹评价过程独立、公正，力求为产品碳足迹评价产出客观、公允的结果。</w:t>
      </w:r>
    </w:p>
    <w:p w14:paraId="3FC437AB" w14:textId="2732F8DD" w:rsidR="00DD666C" w:rsidRDefault="007C24ED" w:rsidP="00DD3329">
      <w:pPr>
        <w:pStyle w:val="2"/>
      </w:pPr>
      <w:bookmarkStart w:id="9" w:name="_Toc23770168"/>
      <w:r w:rsidRPr="005B76A0">
        <w:t>3.</w:t>
      </w:r>
      <w:r w:rsidR="00084B34" w:rsidRPr="005B76A0">
        <w:rPr>
          <w:rFonts w:hint="eastAsia"/>
        </w:rPr>
        <w:t>5</w:t>
      </w:r>
      <w:bookmarkEnd w:id="9"/>
      <w:r w:rsidR="00DD3329">
        <w:rPr>
          <w:rFonts w:hint="eastAsia"/>
        </w:rPr>
        <w:t>量化</w:t>
      </w:r>
      <w:r w:rsidR="002664C7">
        <w:rPr>
          <w:rFonts w:hint="eastAsia"/>
        </w:rPr>
        <w:t>目的和范围</w:t>
      </w:r>
    </w:p>
    <w:p w14:paraId="07CF7898" w14:textId="7AE0DCC7" w:rsidR="002664C7" w:rsidRDefault="002664C7" w:rsidP="004F0636">
      <w:pPr>
        <w:snapToGrid w:val="0"/>
        <w:spacing w:line="360" w:lineRule="auto"/>
        <w:ind w:firstLineChars="200" w:firstLine="480"/>
        <w:rPr>
          <w:kern w:val="0"/>
          <w:sz w:val="24"/>
        </w:rPr>
      </w:pPr>
      <w:r w:rsidRPr="002664C7">
        <w:rPr>
          <w:rFonts w:hint="eastAsia"/>
          <w:kern w:val="0"/>
          <w:sz w:val="24"/>
        </w:rPr>
        <w:t>依据</w:t>
      </w:r>
      <w:r w:rsidR="004F0636">
        <w:rPr>
          <w:rFonts w:hint="eastAsia"/>
          <w:kern w:val="0"/>
          <w:sz w:val="24"/>
        </w:rPr>
        <w:t>国家标准《温室气体</w:t>
      </w:r>
      <w:r w:rsidR="004F0636">
        <w:rPr>
          <w:rFonts w:hint="eastAsia"/>
          <w:kern w:val="0"/>
          <w:sz w:val="24"/>
        </w:rPr>
        <w:t xml:space="preserve"> </w:t>
      </w:r>
      <w:r w:rsidR="004F0636">
        <w:rPr>
          <w:rFonts w:hint="eastAsia"/>
          <w:kern w:val="0"/>
          <w:sz w:val="24"/>
        </w:rPr>
        <w:t>产品碳足迹</w:t>
      </w:r>
      <w:r w:rsidR="004F0636">
        <w:rPr>
          <w:rFonts w:hint="eastAsia"/>
          <w:kern w:val="0"/>
          <w:sz w:val="24"/>
        </w:rPr>
        <w:t xml:space="preserve"> </w:t>
      </w:r>
      <w:r w:rsidR="004F0636">
        <w:rPr>
          <w:rFonts w:hint="eastAsia"/>
          <w:kern w:val="0"/>
          <w:sz w:val="24"/>
        </w:rPr>
        <w:t>量化要求和指南》（</w:t>
      </w:r>
      <w:r w:rsidR="004F0636">
        <w:rPr>
          <w:rFonts w:hint="eastAsia"/>
          <w:kern w:val="0"/>
          <w:sz w:val="24"/>
        </w:rPr>
        <w:t>GB/T 24067-2024</w:t>
      </w:r>
      <w:r w:rsidR="004F0636">
        <w:rPr>
          <w:rFonts w:hint="eastAsia"/>
          <w:kern w:val="0"/>
          <w:sz w:val="24"/>
        </w:rPr>
        <w:t>）规定的产品碳足迹量化方法，产品碳足迹研究应包括生命周期评价的四个阶段，即产品碳足迹研究的目的和范围的确定、生命周期清单分析、生命周期影响评价和生命周期结果解释。</w:t>
      </w:r>
    </w:p>
    <w:p w14:paraId="53647B1E" w14:textId="21E73B85" w:rsidR="00974D25" w:rsidRPr="002664C7" w:rsidRDefault="00796876" w:rsidP="00974D25">
      <w:pPr>
        <w:snapToGrid w:val="0"/>
        <w:spacing w:line="360" w:lineRule="auto"/>
        <w:ind w:firstLineChars="200" w:firstLine="480"/>
        <w:rPr>
          <w:kern w:val="0"/>
          <w:sz w:val="24"/>
        </w:rPr>
      </w:pPr>
      <w:r>
        <w:rPr>
          <w:rFonts w:hint="eastAsia"/>
          <w:kern w:val="0"/>
          <w:sz w:val="24"/>
        </w:rPr>
        <w:t>目的和范围的确定是生命周期评价中的第一步，</w:t>
      </w:r>
      <w:r w:rsidR="00974D25">
        <w:rPr>
          <w:rFonts w:hint="eastAsia"/>
          <w:kern w:val="0"/>
          <w:sz w:val="24"/>
        </w:rPr>
        <w:t>应明确说明开展产品碳足迹研究的应用意图、</w:t>
      </w:r>
      <w:r w:rsidR="00363FA8">
        <w:rPr>
          <w:rFonts w:hint="eastAsia"/>
          <w:kern w:val="0"/>
          <w:sz w:val="24"/>
        </w:rPr>
        <w:t>声明单位</w:t>
      </w:r>
      <w:r w:rsidR="00974D25">
        <w:rPr>
          <w:rFonts w:hint="eastAsia"/>
          <w:kern w:val="0"/>
          <w:sz w:val="24"/>
        </w:rPr>
        <w:t>、系统边界、取舍准则、数据质量要求等。</w:t>
      </w:r>
    </w:p>
    <w:p w14:paraId="136945E5" w14:textId="5F3E7EF4" w:rsidR="00DD666C" w:rsidRPr="005B76A0" w:rsidRDefault="007C24ED" w:rsidP="00DD3329">
      <w:pPr>
        <w:pStyle w:val="3"/>
        <w:ind w:left="420"/>
      </w:pPr>
      <w:r w:rsidRPr="005B76A0">
        <w:t>3.</w:t>
      </w:r>
      <w:r w:rsidR="00084B34" w:rsidRPr="005B76A0">
        <w:t xml:space="preserve">5.1  </w:t>
      </w:r>
      <w:r w:rsidR="00DD3329">
        <w:rPr>
          <w:rFonts w:hint="eastAsia"/>
        </w:rPr>
        <w:t>量化</w:t>
      </w:r>
      <w:r w:rsidR="00974D25">
        <w:rPr>
          <w:rFonts w:hint="eastAsia"/>
        </w:rPr>
        <w:t>目的</w:t>
      </w:r>
    </w:p>
    <w:p w14:paraId="6903FB4D" w14:textId="12327F08" w:rsidR="00DD3329" w:rsidRPr="00FE28DB" w:rsidRDefault="00DD3329" w:rsidP="00DD3329">
      <w:pPr>
        <w:autoSpaceDE w:val="0"/>
        <w:autoSpaceDN w:val="0"/>
        <w:adjustRightInd w:val="0"/>
        <w:spacing w:line="440" w:lineRule="exact"/>
        <w:ind w:firstLineChars="200" w:firstLine="480"/>
        <w:jc w:val="left"/>
        <w:rPr>
          <w:kern w:val="0"/>
          <w:sz w:val="24"/>
        </w:rPr>
      </w:pPr>
      <w:r>
        <w:rPr>
          <w:rFonts w:hint="eastAsia"/>
          <w:kern w:val="0"/>
          <w:sz w:val="24"/>
        </w:rPr>
        <w:t>本标准旨在从生命周期的角度出发，通过调查食品接触用金属容器（含盖）产品的原料获取、产品生产过程中各项消耗与排放等数据，对产品生命周期或选定阶段的温室气体排放量和清除量进行量化评估，识别产品生产过程中关键排放</w:t>
      </w:r>
      <w:r w:rsidRPr="00FE28DB">
        <w:rPr>
          <w:rFonts w:hint="eastAsia"/>
          <w:kern w:val="0"/>
          <w:sz w:val="24"/>
        </w:rPr>
        <w:t>和清除</w:t>
      </w:r>
      <w:r>
        <w:rPr>
          <w:rFonts w:hint="eastAsia"/>
          <w:kern w:val="0"/>
          <w:sz w:val="24"/>
        </w:rPr>
        <w:t>环节，</w:t>
      </w:r>
      <w:r w:rsidRPr="00FE28DB">
        <w:rPr>
          <w:rFonts w:hint="eastAsia"/>
          <w:kern w:val="0"/>
          <w:sz w:val="24"/>
        </w:rPr>
        <w:t>为产业链下游产品提供碳足迹数据参考；为产品碳足迹标识和碳足迹声明提供依据。</w:t>
      </w:r>
    </w:p>
    <w:p w14:paraId="64F283BC" w14:textId="54453737" w:rsidR="00DD666C" w:rsidRPr="00DD3329" w:rsidRDefault="00DD3329" w:rsidP="00DD3329">
      <w:pPr>
        <w:autoSpaceDE w:val="0"/>
        <w:autoSpaceDN w:val="0"/>
        <w:adjustRightInd w:val="0"/>
        <w:spacing w:line="440" w:lineRule="exact"/>
        <w:ind w:firstLineChars="200" w:firstLine="480"/>
        <w:jc w:val="left"/>
        <w:rPr>
          <w:kern w:val="0"/>
          <w:sz w:val="24"/>
        </w:rPr>
      </w:pPr>
      <w:r w:rsidRPr="00FE28DB">
        <w:rPr>
          <w:rFonts w:hint="eastAsia"/>
          <w:kern w:val="0"/>
          <w:sz w:val="24"/>
        </w:rPr>
        <w:t>目标受众包括</w:t>
      </w:r>
      <w:r>
        <w:rPr>
          <w:rFonts w:hint="eastAsia"/>
          <w:kern w:val="0"/>
          <w:sz w:val="24"/>
        </w:rPr>
        <w:t>食品接触用金属容器</w:t>
      </w:r>
      <w:r w:rsidRPr="00FE28DB">
        <w:rPr>
          <w:rFonts w:hint="eastAsia"/>
          <w:kern w:val="0"/>
          <w:sz w:val="24"/>
        </w:rPr>
        <w:t>产业链相关企业、消费者、政府部门和第三方机构等</w:t>
      </w:r>
      <w:r w:rsidRPr="005B76A0">
        <w:rPr>
          <w:rFonts w:hint="eastAsia"/>
          <w:kern w:val="0"/>
          <w:sz w:val="24"/>
        </w:rPr>
        <w:t>。</w:t>
      </w:r>
    </w:p>
    <w:p w14:paraId="46B49F75" w14:textId="7E640C72" w:rsidR="00DD666C" w:rsidRPr="005B76A0" w:rsidRDefault="007C24ED" w:rsidP="00DD3329">
      <w:pPr>
        <w:pStyle w:val="3"/>
        <w:ind w:left="420"/>
      </w:pPr>
      <w:r w:rsidRPr="005B76A0">
        <w:lastRenderedPageBreak/>
        <w:t>3.</w:t>
      </w:r>
      <w:r w:rsidR="00084B34" w:rsidRPr="005B76A0">
        <w:rPr>
          <w:rFonts w:hint="eastAsia"/>
        </w:rPr>
        <w:t xml:space="preserve">5.2  </w:t>
      </w:r>
      <w:r w:rsidR="00DD3329">
        <w:rPr>
          <w:rFonts w:hint="eastAsia"/>
        </w:rPr>
        <w:t>量化</w:t>
      </w:r>
      <w:r w:rsidR="00974D25">
        <w:rPr>
          <w:rFonts w:hint="eastAsia"/>
        </w:rPr>
        <w:t>范围</w:t>
      </w:r>
    </w:p>
    <w:p w14:paraId="1C50D187" w14:textId="090BDC2A" w:rsidR="00E878DE" w:rsidRDefault="00DD3329" w:rsidP="00DD3329">
      <w:pPr>
        <w:autoSpaceDE w:val="0"/>
        <w:autoSpaceDN w:val="0"/>
        <w:adjustRightInd w:val="0"/>
        <w:spacing w:line="440" w:lineRule="exact"/>
        <w:ind w:firstLineChars="200" w:firstLine="480"/>
        <w:jc w:val="left"/>
        <w:rPr>
          <w:kern w:val="0"/>
          <w:sz w:val="24"/>
        </w:rPr>
      </w:pPr>
      <w:r>
        <w:rPr>
          <w:rFonts w:hint="eastAsia"/>
          <w:kern w:val="0"/>
          <w:sz w:val="24"/>
        </w:rPr>
        <w:t>本标准对生命周期碳排放量化的范围进行了界定，包括声明单位和系统边界</w:t>
      </w:r>
      <w:r w:rsidR="00D93C41" w:rsidRPr="005B76A0">
        <w:rPr>
          <w:rFonts w:hint="eastAsia"/>
          <w:kern w:val="0"/>
          <w:sz w:val="24"/>
        </w:rPr>
        <w:t>。</w:t>
      </w:r>
    </w:p>
    <w:p w14:paraId="026D84FB" w14:textId="44262BB0" w:rsidR="00801100" w:rsidRPr="00DD3329" w:rsidRDefault="00801100" w:rsidP="00DD3329">
      <w:pPr>
        <w:pStyle w:val="4"/>
        <w:spacing w:line="377" w:lineRule="auto"/>
        <w:ind w:leftChars="200" w:left="420"/>
        <w:rPr>
          <w:rFonts w:ascii="Times New Roman" w:hAnsi="Times New Roman"/>
          <w:sz w:val="24"/>
        </w:rPr>
      </w:pPr>
      <w:r w:rsidRPr="00DD3329">
        <w:rPr>
          <w:rFonts w:ascii="Times New Roman" w:hAnsi="Times New Roman" w:hint="eastAsia"/>
          <w:sz w:val="24"/>
        </w:rPr>
        <w:t xml:space="preserve">3.5.2.1 </w:t>
      </w:r>
      <w:r w:rsidR="00325B6C">
        <w:rPr>
          <w:rFonts w:ascii="Times New Roman" w:hAnsi="Times New Roman" w:hint="eastAsia"/>
          <w:sz w:val="24"/>
        </w:rPr>
        <w:t>产品信息</w:t>
      </w:r>
    </w:p>
    <w:p w14:paraId="2346115D" w14:textId="5268F645" w:rsidR="00DD3329" w:rsidRDefault="00DD3329" w:rsidP="00DD3329">
      <w:pPr>
        <w:autoSpaceDE w:val="0"/>
        <w:autoSpaceDN w:val="0"/>
        <w:adjustRightInd w:val="0"/>
        <w:spacing w:line="440" w:lineRule="exact"/>
        <w:ind w:firstLineChars="200" w:firstLine="480"/>
        <w:jc w:val="left"/>
        <w:rPr>
          <w:kern w:val="0"/>
          <w:sz w:val="24"/>
        </w:rPr>
      </w:pPr>
      <w:r>
        <w:rPr>
          <w:rFonts w:hint="eastAsia"/>
          <w:kern w:val="0"/>
          <w:sz w:val="24"/>
        </w:rPr>
        <w:t>（</w:t>
      </w:r>
      <w:r>
        <w:rPr>
          <w:rFonts w:hint="eastAsia"/>
          <w:kern w:val="0"/>
          <w:sz w:val="24"/>
        </w:rPr>
        <w:t>1</w:t>
      </w:r>
      <w:r>
        <w:rPr>
          <w:rFonts w:hint="eastAsia"/>
          <w:kern w:val="0"/>
          <w:sz w:val="24"/>
        </w:rPr>
        <w:t>）产品</w:t>
      </w:r>
      <w:r w:rsidR="00325B6C">
        <w:rPr>
          <w:rFonts w:hint="eastAsia"/>
          <w:kern w:val="0"/>
          <w:sz w:val="24"/>
        </w:rPr>
        <w:t>种类</w:t>
      </w:r>
    </w:p>
    <w:p w14:paraId="50359AC5" w14:textId="1C23C4EA" w:rsidR="00801100" w:rsidRDefault="00801100" w:rsidP="00801100">
      <w:pPr>
        <w:autoSpaceDE w:val="0"/>
        <w:autoSpaceDN w:val="0"/>
        <w:adjustRightInd w:val="0"/>
        <w:spacing w:line="440" w:lineRule="exact"/>
        <w:ind w:firstLineChars="200" w:firstLine="480"/>
        <w:jc w:val="left"/>
        <w:rPr>
          <w:kern w:val="0"/>
          <w:sz w:val="24"/>
        </w:rPr>
      </w:pPr>
      <w:r>
        <w:rPr>
          <w:rFonts w:hint="eastAsia"/>
          <w:kern w:val="0"/>
          <w:sz w:val="24"/>
        </w:rPr>
        <w:t>食品接触用金属容器</w:t>
      </w:r>
      <w:r w:rsidR="0010564C">
        <w:rPr>
          <w:rFonts w:hint="eastAsia"/>
          <w:kern w:val="0"/>
          <w:sz w:val="24"/>
        </w:rPr>
        <w:t>种类</w:t>
      </w:r>
      <w:r w:rsidR="006819FD">
        <w:rPr>
          <w:rFonts w:hint="eastAsia"/>
          <w:kern w:val="0"/>
          <w:sz w:val="24"/>
        </w:rPr>
        <w:t>、规格多样</w:t>
      </w:r>
      <w:r w:rsidR="0010564C">
        <w:rPr>
          <w:rFonts w:hint="eastAsia"/>
          <w:kern w:val="0"/>
          <w:sz w:val="24"/>
        </w:rPr>
        <w:t>，</w:t>
      </w:r>
      <w:r w:rsidR="006819FD">
        <w:rPr>
          <w:rFonts w:hint="eastAsia"/>
          <w:kern w:val="0"/>
          <w:sz w:val="24"/>
        </w:rPr>
        <w:t>结合</w:t>
      </w:r>
      <w:r w:rsidR="00C360DD">
        <w:rPr>
          <w:rFonts w:hint="eastAsia"/>
          <w:kern w:val="0"/>
          <w:sz w:val="24"/>
        </w:rPr>
        <w:t>行业</w:t>
      </w:r>
      <w:r w:rsidR="005B7151">
        <w:rPr>
          <w:rFonts w:hint="eastAsia"/>
          <w:kern w:val="0"/>
          <w:sz w:val="24"/>
        </w:rPr>
        <w:t>共识</w:t>
      </w:r>
      <w:r w:rsidR="006819FD">
        <w:rPr>
          <w:rFonts w:hint="eastAsia"/>
          <w:kern w:val="0"/>
          <w:sz w:val="24"/>
        </w:rPr>
        <w:t>及调研情况</w:t>
      </w:r>
      <w:r w:rsidR="005B7151">
        <w:rPr>
          <w:rFonts w:hint="eastAsia"/>
          <w:kern w:val="0"/>
          <w:sz w:val="24"/>
        </w:rPr>
        <w:t>，将</w:t>
      </w:r>
      <w:r w:rsidR="00446FDF">
        <w:rPr>
          <w:rFonts w:hint="eastAsia"/>
          <w:kern w:val="0"/>
          <w:sz w:val="24"/>
        </w:rPr>
        <w:t>金属容器</w:t>
      </w:r>
      <w:r w:rsidR="006819FD">
        <w:rPr>
          <w:rFonts w:hint="eastAsia"/>
          <w:kern w:val="0"/>
          <w:sz w:val="24"/>
        </w:rPr>
        <w:t>定义</w:t>
      </w:r>
      <w:r w:rsidR="00446FDF">
        <w:rPr>
          <w:rFonts w:hint="eastAsia"/>
          <w:kern w:val="0"/>
          <w:sz w:val="24"/>
        </w:rPr>
        <w:t>为</w:t>
      </w:r>
      <w:r w:rsidR="006309B0">
        <w:rPr>
          <w:rFonts w:hint="eastAsia"/>
          <w:kern w:val="0"/>
          <w:sz w:val="24"/>
        </w:rPr>
        <w:t>由</w:t>
      </w:r>
      <w:r w:rsidR="00446FDF">
        <w:rPr>
          <w:rFonts w:hint="eastAsia"/>
          <w:kern w:val="0"/>
          <w:sz w:val="24"/>
        </w:rPr>
        <w:t>金属罐（瓶）身及金属</w:t>
      </w:r>
      <w:r w:rsidR="006309B0">
        <w:rPr>
          <w:rFonts w:hint="eastAsia"/>
          <w:kern w:val="0"/>
          <w:sz w:val="24"/>
        </w:rPr>
        <w:t>罐（瓶）盖</w:t>
      </w:r>
      <w:r w:rsidR="00446FDF">
        <w:rPr>
          <w:rFonts w:hint="eastAsia"/>
          <w:kern w:val="0"/>
          <w:sz w:val="24"/>
        </w:rPr>
        <w:t>组合而成</w:t>
      </w:r>
      <w:r w:rsidR="006819FD">
        <w:rPr>
          <w:rFonts w:hint="eastAsia"/>
          <w:kern w:val="0"/>
          <w:sz w:val="24"/>
        </w:rPr>
        <w:t>的整体</w:t>
      </w:r>
      <w:r w:rsidR="00446FDF">
        <w:rPr>
          <w:rFonts w:hint="eastAsia"/>
          <w:kern w:val="0"/>
          <w:sz w:val="24"/>
        </w:rPr>
        <w:t>，</w:t>
      </w:r>
      <w:r w:rsidR="006309B0">
        <w:rPr>
          <w:rFonts w:hint="eastAsia"/>
          <w:kern w:val="0"/>
          <w:sz w:val="24"/>
        </w:rPr>
        <w:t>并</w:t>
      </w:r>
      <w:r w:rsidR="006819FD">
        <w:rPr>
          <w:rFonts w:hint="eastAsia"/>
          <w:kern w:val="0"/>
          <w:sz w:val="24"/>
        </w:rPr>
        <w:t>参考</w:t>
      </w:r>
      <w:r w:rsidR="006819FD" w:rsidRPr="006819FD">
        <w:rPr>
          <w:rFonts w:hint="eastAsia"/>
          <w:kern w:val="0"/>
          <w:sz w:val="24"/>
        </w:rPr>
        <w:t>GB/T 14251</w:t>
      </w:r>
      <w:r w:rsidR="006819FD">
        <w:rPr>
          <w:rFonts w:hint="eastAsia"/>
          <w:kern w:val="0"/>
          <w:sz w:val="24"/>
        </w:rPr>
        <w:t>《</w:t>
      </w:r>
      <w:r w:rsidR="006819FD" w:rsidRPr="006819FD">
        <w:rPr>
          <w:rFonts w:hint="eastAsia"/>
          <w:kern w:val="0"/>
          <w:sz w:val="24"/>
        </w:rPr>
        <w:t>罐头食品金属容器通用技术要求</w:t>
      </w:r>
      <w:r w:rsidR="006819FD">
        <w:rPr>
          <w:rFonts w:hint="eastAsia"/>
          <w:kern w:val="0"/>
          <w:sz w:val="24"/>
        </w:rPr>
        <w:t>》，</w:t>
      </w:r>
      <w:r w:rsidR="005B7151">
        <w:rPr>
          <w:rFonts w:hint="eastAsia"/>
          <w:kern w:val="0"/>
          <w:sz w:val="24"/>
        </w:rPr>
        <w:t>按照</w:t>
      </w:r>
      <w:r w:rsidR="00083760">
        <w:rPr>
          <w:rFonts w:hint="eastAsia"/>
          <w:kern w:val="0"/>
          <w:sz w:val="24"/>
        </w:rPr>
        <w:t>基板种类</w:t>
      </w:r>
      <w:r w:rsidR="005B7151">
        <w:rPr>
          <w:rFonts w:hint="eastAsia"/>
          <w:kern w:val="0"/>
          <w:sz w:val="24"/>
        </w:rPr>
        <w:t>、</w:t>
      </w:r>
      <w:r w:rsidR="00083760">
        <w:rPr>
          <w:rFonts w:hint="eastAsia"/>
          <w:kern w:val="0"/>
          <w:sz w:val="24"/>
        </w:rPr>
        <w:t>内壁特性、</w:t>
      </w:r>
      <w:r w:rsidR="006309B0">
        <w:rPr>
          <w:rFonts w:hint="eastAsia"/>
          <w:kern w:val="0"/>
          <w:sz w:val="24"/>
        </w:rPr>
        <w:t>结构形式</w:t>
      </w:r>
      <w:r w:rsidR="005B7151">
        <w:rPr>
          <w:rFonts w:hint="eastAsia"/>
          <w:kern w:val="0"/>
          <w:sz w:val="24"/>
        </w:rPr>
        <w:t>的差异</w:t>
      </w:r>
      <w:r w:rsidR="006819FD">
        <w:rPr>
          <w:rFonts w:hint="eastAsia"/>
          <w:kern w:val="0"/>
          <w:sz w:val="24"/>
        </w:rPr>
        <w:t>对罐（瓶）身及罐（瓶）盖</w:t>
      </w:r>
      <w:r w:rsidR="005B7151">
        <w:rPr>
          <w:rFonts w:hint="eastAsia"/>
          <w:kern w:val="0"/>
          <w:sz w:val="24"/>
        </w:rPr>
        <w:t>进行分类。</w:t>
      </w:r>
    </w:p>
    <w:p w14:paraId="35CE7D44" w14:textId="17A5D10A" w:rsidR="005B7151" w:rsidRDefault="00083760" w:rsidP="00801100">
      <w:pPr>
        <w:autoSpaceDE w:val="0"/>
        <w:autoSpaceDN w:val="0"/>
        <w:adjustRightInd w:val="0"/>
        <w:spacing w:line="440" w:lineRule="exact"/>
        <w:ind w:firstLineChars="200" w:firstLine="480"/>
        <w:jc w:val="left"/>
        <w:rPr>
          <w:kern w:val="0"/>
          <w:sz w:val="24"/>
        </w:rPr>
      </w:pPr>
      <w:r>
        <w:rPr>
          <w:rFonts w:hint="eastAsia"/>
          <w:kern w:val="0"/>
          <w:sz w:val="24"/>
        </w:rPr>
        <w:t>基板种类</w:t>
      </w:r>
      <w:r w:rsidR="005B7151">
        <w:rPr>
          <w:rFonts w:hint="eastAsia"/>
          <w:kern w:val="0"/>
          <w:sz w:val="24"/>
        </w:rPr>
        <w:t>不同：</w:t>
      </w:r>
      <w:r w:rsidR="00C273CE">
        <w:rPr>
          <w:rFonts w:hint="eastAsia"/>
          <w:kern w:val="0"/>
          <w:sz w:val="24"/>
        </w:rPr>
        <w:t>金属容器的</w:t>
      </w:r>
      <w:r w:rsidR="003B6F73">
        <w:rPr>
          <w:rFonts w:hint="eastAsia"/>
          <w:kern w:val="0"/>
          <w:sz w:val="24"/>
        </w:rPr>
        <w:t>板材</w:t>
      </w:r>
      <w:r w:rsidR="00C273CE">
        <w:rPr>
          <w:rFonts w:hint="eastAsia"/>
          <w:kern w:val="0"/>
          <w:sz w:val="24"/>
        </w:rPr>
        <w:t>主要分为</w:t>
      </w:r>
      <w:r>
        <w:rPr>
          <w:rFonts w:hint="eastAsia"/>
          <w:kern w:val="0"/>
          <w:sz w:val="24"/>
        </w:rPr>
        <w:t>钢质</w:t>
      </w:r>
      <w:r w:rsidR="00C273CE">
        <w:rPr>
          <w:rFonts w:hint="eastAsia"/>
          <w:kern w:val="0"/>
          <w:sz w:val="24"/>
        </w:rPr>
        <w:t>和</w:t>
      </w:r>
      <w:r>
        <w:rPr>
          <w:rFonts w:hint="eastAsia"/>
          <w:kern w:val="0"/>
          <w:sz w:val="24"/>
        </w:rPr>
        <w:t>铝质</w:t>
      </w:r>
      <w:r w:rsidR="00C273CE">
        <w:rPr>
          <w:rFonts w:hint="eastAsia"/>
          <w:kern w:val="0"/>
          <w:sz w:val="24"/>
        </w:rPr>
        <w:t>两大类，钢</w:t>
      </w:r>
      <w:r w:rsidR="003B6F73">
        <w:rPr>
          <w:rFonts w:hint="eastAsia"/>
          <w:kern w:val="0"/>
          <w:sz w:val="24"/>
        </w:rPr>
        <w:t>质基板</w:t>
      </w:r>
      <w:r w:rsidR="00C273CE">
        <w:rPr>
          <w:rFonts w:hint="eastAsia"/>
          <w:kern w:val="0"/>
          <w:sz w:val="24"/>
        </w:rPr>
        <w:t>有镀锡或镀铬薄钢板；</w:t>
      </w:r>
      <w:r w:rsidR="003B6F73">
        <w:rPr>
          <w:rFonts w:hint="eastAsia"/>
          <w:kern w:val="0"/>
          <w:sz w:val="24"/>
        </w:rPr>
        <w:t>铝质基板</w:t>
      </w:r>
      <w:r w:rsidR="00C273CE">
        <w:rPr>
          <w:rFonts w:hint="eastAsia"/>
          <w:kern w:val="0"/>
          <w:sz w:val="24"/>
        </w:rPr>
        <w:t>有铝合金薄板。</w:t>
      </w:r>
    </w:p>
    <w:p w14:paraId="72C15848" w14:textId="37D0C7FE" w:rsidR="00C273CE" w:rsidRDefault="00C17323" w:rsidP="00801100">
      <w:pPr>
        <w:autoSpaceDE w:val="0"/>
        <w:autoSpaceDN w:val="0"/>
        <w:adjustRightInd w:val="0"/>
        <w:spacing w:line="440" w:lineRule="exact"/>
        <w:ind w:firstLineChars="200" w:firstLine="480"/>
        <w:jc w:val="left"/>
        <w:rPr>
          <w:kern w:val="0"/>
          <w:sz w:val="24"/>
        </w:rPr>
      </w:pPr>
      <w:r>
        <w:rPr>
          <w:rFonts w:hint="eastAsia"/>
          <w:kern w:val="0"/>
          <w:sz w:val="24"/>
        </w:rPr>
        <w:t>内壁特性</w:t>
      </w:r>
      <w:r w:rsidR="00C273CE">
        <w:rPr>
          <w:rFonts w:hint="eastAsia"/>
          <w:kern w:val="0"/>
          <w:sz w:val="24"/>
        </w:rPr>
        <w:t>不同：</w:t>
      </w:r>
      <w:r>
        <w:rPr>
          <w:rFonts w:hint="eastAsia"/>
          <w:kern w:val="0"/>
          <w:sz w:val="24"/>
        </w:rPr>
        <w:t>可分为素铁罐和涂覆罐两种，素铁罐是</w:t>
      </w:r>
      <w:r w:rsidR="004D12F3">
        <w:rPr>
          <w:rFonts w:hint="eastAsia"/>
          <w:kern w:val="0"/>
          <w:sz w:val="24"/>
        </w:rPr>
        <w:t>未经涂覆的镀锡或镀铬薄钢板制成的金属罐；</w:t>
      </w:r>
      <w:r>
        <w:rPr>
          <w:rFonts w:hint="eastAsia"/>
          <w:kern w:val="0"/>
          <w:sz w:val="24"/>
        </w:rPr>
        <w:t>涂覆罐是内壁有涂层或覆膜的金属罐，包括涂料铁罐、涂料铝罐、覆膜铁罐和覆膜铝罐</w:t>
      </w:r>
      <w:r w:rsidR="00C273CE">
        <w:rPr>
          <w:rFonts w:hint="eastAsia"/>
          <w:kern w:val="0"/>
          <w:sz w:val="24"/>
        </w:rPr>
        <w:t>。</w:t>
      </w:r>
    </w:p>
    <w:p w14:paraId="7E6CFC0A" w14:textId="0C7A0748" w:rsidR="00C17323" w:rsidRDefault="00C17323" w:rsidP="00801100">
      <w:pPr>
        <w:autoSpaceDE w:val="0"/>
        <w:autoSpaceDN w:val="0"/>
        <w:adjustRightInd w:val="0"/>
        <w:spacing w:line="440" w:lineRule="exact"/>
        <w:ind w:firstLineChars="200" w:firstLine="480"/>
        <w:jc w:val="left"/>
        <w:rPr>
          <w:kern w:val="0"/>
          <w:sz w:val="24"/>
        </w:rPr>
      </w:pPr>
      <w:r>
        <w:rPr>
          <w:rFonts w:hint="eastAsia"/>
          <w:kern w:val="0"/>
          <w:sz w:val="24"/>
        </w:rPr>
        <w:t>结构形式不同的罐（瓶）身：包含两片罐和三片罐。</w:t>
      </w:r>
    </w:p>
    <w:p w14:paraId="55270F00" w14:textId="35930FB9" w:rsidR="00C17323" w:rsidRDefault="00C17323" w:rsidP="00801100">
      <w:pPr>
        <w:autoSpaceDE w:val="0"/>
        <w:autoSpaceDN w:val="0"/>
        <w:adjustRightInd w:val="0"/>
        <w:spacing w:line="440" w:lineRule="exact"/>
        <w:ind w:firstLineChars="200" w:firstLine="480"/>
        <w:jc w:val="left"/>
        <w:rPr>
          <w:kern w:val="0"/>
          <w:sz w:val="24"/>
        </w:rPr>
      </w:pPr>
      <w:r>
        <w:rPr>
          <w:rFonts w:hint="eastAsia"/>
          <w:kern w:val="0"/>
          <w:sz w:val="24"/>
        </w:rPr>
        <w:t>结构形式不同的罐（瓶）盖：</w:t>
      </w:r>
      <w:r w:rsidR="00CE7C3E" w:rsidRPr="00CE7C3E">
        <w:rPr>
          <w:rFonts w:hint="eastAsia"/>
          <w:kern w:val="0"/>
          <w:sz w:val="24"/>
        </w:rPr>
        <w:t>瓶盖、易开盖、易撕盖、螺纹盖、压旋盖、安全钮盖、扭开盖、爪式旋开盖、皇冠盖、撬盖、拉环盖、螺旋防伪铝盖等</w:t>
      </w:r>
      <w:r w:rsidR="00CE7C3E">
        <w:rPr>
          <w:rFonts w:hint="eastAsia"/>
          <w:kern w:val="0"/>
          <w:sz w:val="24"/>
        </w:rPr>
        <w:t>。</w:t>
      </w:r>
    </w:p>
    <w:p w14:paraId="10B75D06" w14:textId="24604089" w:rsidR="00C273CE" w:rsidRDefault="00C273CE" w:rsidP="00801100">
      <w:pPr>
        <w:autoSpaceDE w:val="0"/>
        <w:autoSpaceDN w:val="0"/>
        <w:adjustRightInd w:val="0"/>
        <w:spacing w:line="440" w:lineRule="exact"/>
        <w:ind w:firstLineChars="200" w:firstLine="480"/>
        <w:jc w:val="left"/>
        <w:rPr>
          <w:kern w:val="0"/>
          <w:sz w:val="24"/>
        </w:rPr>
      </w:pPr>
      <w:r>
        <w:rPr>
          <w:rFonts w:hint="eastAsia"/>
          <w:kern w:val="0"/>
          <w:sz w:val="24"/>
        </w:rPr>
        <w:t>不同金属</w:t>
      </w:r>
      <w:r w:rsidR="00CE7C3E">
        <w:rPr>
          <w:rFonts w:hint="eastAsia"/>
          <w:kern w:val="0"/>
          <w:sz w:val="24"/>
        </w:rPr>
        <w:t>基板、内壁特性</w:t>
      </w:r>
      <w:r>
        <w:rPr>
          <w:rFonts w:hint="eastAsia"/>
          <w:kern w:val="0"/>
          <w:sz w:val="24"/>
        </w:rPr>
        <w:t>制造的金属容器，</w:t>
      </w:r>
      <w:r w:rsidR="003A3621">
        <w:rPr>
          <w:rFonts w:hint="eastAsia"/>
          <w:kern w:val="0"/>
          <w:sz w:val="24"/>
        </w:rPr>
        <w:t>其产品碳足迹的差异主要</w:t>
      </w:r>
      <w:r w:rsidR="00CE7C3E">
        <w:rPr>
          <w:rFonts w:hint="eastAsia"/>
          <w:kern w:val="0"/>
          <w:sz w:val="24"/>
        </w:rPr>
        <w:t>存在于与</w:t>
      </w:r>
      <w:r w:rsidR="00250C85">
        <w:rPr>
          <w:rFonts w:hint="eastAsia"/>
          <w:kern w:val="0"/>
          <w:sz w:val="24"/>
        </w:rPr>
        <w:t>原材料</w:t>
      </w:r>
      <w:r w:rsidR="00CE7C3E">
        <w:rPr>
          <w:rFonts w:hint="eastAsia"/>
          <w:kern w:val="0"/>
          <w:sz w:val="24"/>
        </w:rPr>
        <w:t>相关的</w:t>
      </w:r>
      <w:r w:rsidR="00250C85">
        <w:rPr>
          <w:rFonts w:hint="eastAsia"/>
          <w:kern w:val="0"/>
          <w:sz w:val="24"/>
        </w:rPr>
        <w:t>阶段</w:t>
      </w:r>
      <w:r w:rsidR="003A3621">
        <w:rPr>
          <w:rFonts w:hint="eastAsia"/>
          <w:kern w:val="0"/>
          <w:sz w:val="24"/>
        </w:rPr>
        <w:t>，包括</w:t>
      </w:r>
      <w:r w:rsidR="00CE7C3E">
        <w:rPr>
          <w:rFonts w:hint="eastAsia"/>
          <w:kern w:val="0"/>
          <w:sz w:val="24"/>
        </w:rPr>
        <w:t>上游的</w:t>
      </w:r>
      <w:r w:rsidR="003A3621">
        <w:rPr>
          <w:rFonts w:hint="eastAsia"/>
          <w:kern w:val="0"/>
          <w:sz w:val="24"/>
        </w:rPr>
        <w:t>原材料的生产</w:t>
      </w:r>
      <w:r w:rsidR="00CE7C3E">
        <w:rPr>
          <w:rFonts w:hint="eastAsia"/>
          <w:kern w:val="0"/>
          <w:sz w:val="24"/>
        </w:rPr>
        <w:t>加工过程</w:t>
      </w:r>
      <w:r w:rsidR="003A3621">
        <w:rPr>
          <w:rFonts w:hint="eastAsia"/>
          <w:kern w:val="0"/>
          <w:sz w:val="24"/>
        </w:rPr>
        <w:t>、运输过程</w:t>
      </w:r>
      <w:r w:rsidR="00CE7C3E">
        <w:rPr>
          <w:rFonts w:hint="eastAsia"/>
          <w:kern w:val="0"/>
          <w:sz w:val="24"/>
        </w:rPr>
        <w:t>，</w:t>
      </w:r>
      <w:r w:rsidR="00250C85">
        <w:rPr>
          <w:rFonts w:hint="eastAsia"/>
          <w:kern w:val="0"/>
          <w:sz w:val="24"/>
        </w:rPr>
        <w:t>不同基材罐体的加工过程；不同罐体结构的金属容器，其产品碳足迹的差异主要体现在生产工艺阶段。基于以上可能的差异，考虑将食品接触用金属容器的产品碳足迹</w:t>
      </w:r>
      <w:r w:rsidR="00CE7C3E">
        <w:rPr>
          <w:rFonts w:hint="eastAsia"/>
          <w:kern w:val="0"/>
          <w:sz w:val="24"/>
        </w:rPr>
        <w:t>按照不同的</w:t>
      </w:r>
      <w:r w:rsidR="00250C85">
        <w:rPr>
          <w:rFonts w:hint="eastAsia"/>
          <w:kern w:val="0"/>
          <w:sz w:val="24"/>
        </w:rPr>
        <w:t>分类进行评价。</w:t>
      </w:r>
    </w:p>
    <w:p w14:paraId="0D88B854" w14:textId="321AEA2A" w:rsidR="001B1C3E" w:rsidRDefault="001B1C3E" w:rsidP="00801100">
      <w:pPr>
        <w:autoSpaceDE w:val="0"/>
        <w:autoSpaceDN w:val="0"/>
        <w:adjustRightInd w:val="0"/>
        <w:spacing w:line="440" w:lineRule="exact"/>
        <w:ind w:firstLineChars="200" w:firstLine="480"/>
        <w:jc w:val="left"/>
        <w:rPr>
          <w:kern w:val="0"/>
          <w:sz w:val="24"/>
        </w:rPr>
      </w:pPr>
      <w:r>
        <w:rPr>
          <w:rFonts w:hint="eastAsia"/>
          <w:kern w:val="0"/>
          <w:sz w:val="24"/>
        </w:rPr>
        <w:t>经调研，收集整理多种类食品金属容器的生产工艺流程，如</w:t>
      </w:r>
      <w:r w:rsidR="005D6AA3">
        <w:rPr>
          <w:rFonts w:hint="eastAsia"/>
          <w:kern w:val="0"/>
          <w:sz w:val="24"/>
        </w:rPr>
        <w:t>图</w:t>
      </w:r>
      <w:r w:rsidR="005D6AA3">
        <w:rPr>
          <w:rFonts w:hint="eastAsia"/>
          <w:kern w:val="0"/>
          <w:sz w:val="24"/>
        </w:rPr>
        <w:t>1-</w:t>
      </w:r>
      <w:r w:rsidR="005D6AA3">
        <w:rPr>
          <w:rFonts w:hint="eastAsia"/>
          <w:kern w:val="0"/>
          <w:sz w:val="24"/>
        </w:rPr>
        <w:t>图</w:t>
      </w:r>
      <w:r w:rsidR="005D6AA3">
        <w:rPr>
          <w:rFonts w:hint="eastAsia"/>
          <w:kern w:val="0"/>
          <w:sz w:val="24"/>
        </w:rPr>
        <w:t>5</w:t>
      </w:r>
      <w:r>
        <w:rPr>
          <w:rFonts w:hint="eastAsia"/>
          <w:kern w:val="0"/>
          <w:sz w:val="24"/>
        </w:rPr>
        <w:t>所示。</w:t>
      </w:r>
    </w:p>
    <w:p w14:paraId="122AC3D0" w14:textId="7054CA86" w:rsidR="001B1C3E" w:rsidRDefault="00D37F91" w:rsidP="00D37F91">
      <w:pPr>
        <w:autoSpaceDE w:val="0"/>
        <w:autoSpaceDN w:val="0"/>
        <w:adjustRightInd w:val="0"/>
        <w:jc w:val="left"/>
        <w:rPr>
          <w:kern w:val="0"/>
          <w:sz w:val="24"/>
        </w:rPr>
      </w:pPr>
      <w:r>
        <w:rPr>
          <w:noProof/>
        </w:rPr>
        <w:drawing>
          <wp:inline distT="0" distB="0" distL="0" distR="0" wp14:anchorId="7FEA7A66" wp14:editId="20884218">
            <wp:extent cx="5273675" cy="1664335"/>
            <wp:effectExtent l="0" t="0" r="3175" b="0"/>
            <wp:docPr id="572730709" name="图片 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730709" name="图片 8" descr="图示&#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3675" cy="1664335"/>
                    </a:xfrm>
                    <a:prstGeom prst="rect">
                      <a:avLst/>
                    </a:prstGeom>
                    <a:noFill/>
                  </pic:spPr>
                </pic:pic>
              </a:graphicData>
            </a:graphic>
          </wp:inline>
        </w:drawing>
      </w:r>
    </w:p>
    <w:p w14:paraId="75369A78" w14:textId="40F530FD" w:rsidR="00D37F91" w:rsidRPr="00F508EB" w:rsidRDefault="00D37F91" w:rsidP="009349D2">
      <w:pPr>
        <w:pStyle w:val="a3"/>
        <w:spacing w:before="156" w:after="156"/>
      </w:pPr>
      <w:r>
        <w:rPr>
          <w:rFonts w:hint="eastAsia"/>
        </w:rPr>
        <w:lastRenderedPageBreak/>
        <w:t>三片罐生产工艺流程</w:t>
      </w:r>
    </w:p>
    <w:p w14:paraId="0B8216F4" w14:textId="1BF4355F" w:rsidR="00D37F91" w:rsidRDefault="00D37F91" w:rsidP="00D37F91">
      <w:pPr>
        <w:autoSpaceDE w:val="0"/>
        <w:autoSpaceDN w:val="0"/>
        <w:adjustRightInd w:val="0"/>
        <w:jc w:val="left"/>
        <w:rPr>
          <w:kern w:val="0"/>
          <w:sz w:val="24"/>
        </w:rPr>
      </w:pPr>
      <w:r w:rsidRPr="00070039">
        <w:rPr>
          <w:rFonts w:ascii="宋体" w:hAnsi="宋体" w:cs="宋体" w:hint="eastAsia"/>
          <w:noProof/>
          <w:kern w:val="0"/>
          <w:sz w:val="24"/>
        </w:rPr>
        <w:drawing>
          <wp:inline distT="0" distB="0" distL="0" distR="0" wp14:anchorId="02B037F6" wp14:editId="3D5F7F8E">
            <wp:extent cx="5270500" cy="2312035"/>
            <wp:effectExtent l="0" t="0" r="6350" b="0"/>
            <wp:docPr id="7" name="图片 3"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图片"/>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0500" cy="2312035"/>
                    </a:xfrm>
                    <a:prstGeom prst="rect">
                      <a:avLst/>
                    </a:prstGeom>
                    <a:noFill/>
                  </pic:spPr>
                </pic:pic>
              </a:graphicData>
            </a:graphic>
          </wp:inline>
        </w:drawing>
      </w:r>
    </w:p>
    <w:p w14:paraId="52912189" w14:textId="37C27B8A" w:rsidR="00D37F91" w:rsidRDefault="00D37F91" w:rsidP="009349D2">
      <w:pPr>
        <w:pStyle w:val="a3"/>
        <w:spacing w:before="156" w:after="156"/>
      </w:pPr>
      <w:r w:rsidRPr="00D37F91">
        <w:rPr>
          <w:rFonts w:hint="eastAsia"/>
        </w:rPr>
        <w:t>两片罐生产工艺流程</w:t>
      </w:r>
    </w:p>
    <w:p w14:paraId="60F5900F" w14:textId="3584693B" w:rsidR="00CE7C3E" w:rsidRDefault="00CE7C3E" w:rsidP="00CE7C3E">
      <w:pPr>
        <w:pStyle w:val="afb"/>
        <w:ind w:firstLineChars="0" w:firstLine="0"/>
        <w:jc w:val="center"/>
      </w:pPr>
      <w:r>
        <w:rPr>
          <w:rFonts w:hint="eastAsia"/>
        </w:rPr>
        <w:object w:dxaOrig="2595" w:dyaOrig="4725" w14:anchorId="5DD45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35pt;height:166.55pt" o:ole="">
            <v:imagedata r:id="rId11" o:title=""/>
          </v:shape>
          <o:OLEObject Type="Embed" ProgID="Visio.Drawing.15" ShapeID="_x0000_i1025" DrawAspect="Content" ObjectID="_1819541937" r:id="rId12"/>
        </w:object>
      </w:r>
    </w:p>
    <w:p w14:paraId="09A139F6" w14:textId="727F81CC" w:rsidR="00CE7C3E" w:rsidRDefault="00CE7C3E" w:rsidP="00CE7C3E">
      <w:pPr>
        <w:pStyle w:val="a3"/>
        <w:spacing w:before="156" w:after="156"/>
      </w:pPr>
      <w:r w:rsidRPr="00D16FC3">
        <w:t>爪式旋开盖生产工艺流程图</w:t>
      </w:r>
    </w:p>
    <w:p w14:paraId="448BAB93" w14:textId="2A4E2C41" w:rsidR="00CE7C3E" w:rsidRDefault="00CE7C3E" w:rsidP="00CE7C3E">
      <w:pPr>
        <w:pStyle w:val="afffffffb"/>
        <w:ind w:firstLineChars="0" w:firstLine="0"/>
        <w:jc w:val="center"/>
      </w:pPr>
      <w:r>
        <w:rPr>
          <w:rFonts w:hint="eastAsia"/>
        </w:rPr>
        <w:object w:dxaOrig="2595" w:dyaOrig="6000" w14:anchorId="2C72208E">
          <v:shape id="_x0000_i1026" type="#_x0000_t75" style="width:82.75pt;height:187.5pt" o:ole="">
            <v:imagedata r:id="rId13" o:title=""/>
          </v:shape>
          <o:OLEObject Type="Embed" ProgID="Visio.Drawing.15" ShapeID="_x0000_i1026" DrawAspect="Content" ObjectID="_1819541938" r:id="rId14"/>
        </w:object>
      </w:r>
    </w:p>
    <w:p w14:paraId="5DA52B09" w14:textId="020BF34F" w:rsidR="00CE7C3E" w:rsidRDefault="00CE7C3E" w:rsidP="00C829A9">
      <w:pPr>
        <w:pStyle w:val="a3"/>
        <w:spacing w:before="156" w:after="156"/>
      </w:pPr>
      <w:r w:rsidRPr="00D16FC3">
        <w:rPr>
          <w:rFonts w:hint="eastAsia"/>
        </w:rPr>
        <w:t>镀锡或镀铬薄钢板螺纹旋开盖</w:t>
      </w:r>
      <w:r>
        <w:rPr>
          <w:rFonts w:hint="eastAsia"/>
        </w:rPr>
        <w:t>生产工艺流程图</w:t>
      </w:r>
    </w:p>
    <w:p w14:paraId="7FDA6746" w14:textId="44C88986" w:rsidR="00C829A9" w:rsidRDefault="00C829A9" w:rsidP="00C829A9">
      <w:pPr>
        <w:pStyle w:val="afffffffb"/>
        <w:ind w:firstLineChars="0" w:firstLine="0"/>
        <w:jc w:val="center"/>
      </w:pPr>
      <w:r>
        <w:rPr>
          <w:rFonts w:hint="eastAsia"/>
        </w:rPr>
        <w:object w:dxaOrig="2595" w:dyaOrig="7275" w14:anchorId="5E5CBE23">
          <v:shape id="_x0000_i1027" type="#_x0000_t75" style="width:82.75pt;height:233.2pt" o:ole="">
            <v:imagedata r:id="rId15" o:title=""/>
          </v:shape>
          <o:OLEObject Type="Embed" ProgID="Visio.Drawing.15" ShapeID="_x0000_i1027" DrawAspect="Content" ObjectID="_1819541939" r:id="rId16"/>
        </w:object>
      </w:r>
    </w:p>
    <w:p w14:paraId="178A57D5" w14:textId="6C7D4A3D" w:rsidR="00C829A9" w:rsidRPr="00C829A9" w:rsidRDefault="00C829A9" w:rsidP="009349D2">
      <w:pPr>
        <w:pStyle w:val="a3"/>
        <w:spacing w:before="156" w:after="156"/>
      </w:pPr>
      <w:r>
        <w:rPr>
          <w:rFonts w:hint="eastAsia"/>
        </w:rPr>
        <w:t>镀</w:t>
      </w:r>
      <w:r w:rsidRPr="00D16FC3">
        <w:rPr>
          <w:rFonts w:hint="eastAsia"/>
        </w:rPr>
        <w:t>锡或镀铬薄钢板全开式</w:t>
      </w:r>
      <w:r>
        <w:rPr>
          <w:rFonts w:hint="eastAsia"/>
        </w:rPr>
        <w:t>易开盖生产工艺流程图</w:t>
      </w:r>
    </w:p>
    <w:p w14:paraId="2CB5E8E7" w14:textId="68BE1C69" w:rsidR="00325B6C" w:rsidRDefault="00325B6C" w:rsidP="00DD3329">
      <w:pPr>
        <w:autoSpaceDE w:val="0"/>
        <w:autoSpaceDN w:val="0"/>
        <w:adjustRightInd w:val="0"/>
        <w:spacing w:line="440" w:lineRule="exact"/>
        <w:ind w:firstLineChars="200" w:firstLine="480"/>
        <w:jc w:val="left"/>
        <w:rPr>
          <w:kern w:val="0"/>
          <w:sz w:val="24"/>
        </w:rPr>
      </w:pPr>
      <w:r>
        <w:rPr>
          <w:rFonts w:hint="eastAsia"/>
          <w:kern w:val="0"/>
          <w:sz w:val="24"/>
        </w:rPr>
        <w:t>（</w:t>
      </w:r>
      <w:r>
        <w:rPr>
          <w:rFonts w:hint="eastAsia"/>
          <w:kern w:val="0"/>
          <w:sz w:val="24"/>
        </w:rPr>
        <w:t>2</w:t>
      </w:r>
      <w:r>
        <w:rPr>
          <w:rFonts w:hint="eastAsia"/>
          <w:kern w:val="0"/>
          <w:sz w:val="24"/>
        </w:rPr>
        <w:t>）产品描述</w:t>
      </w:r>
    </w:p>
    <w:p w14:paraId="67568C43" w14:textId="75C54A07" w:rsidR="00DD3329" w:rsidRPr="00FE28DB" w:rsidRDefault="00DD3329" w:rsidP="00DD3329">
      <w:pPr>
        <w:autoSpaceDE w:val="0"/>
        <w:autoSpaceDN w:val="0"/>
        <w:adjustRightInd w:val="0"/>
        <w:spacing w:line="440" w:lineRule="exact"/>
        <w:ind w:firstLineChars="200" w:firstLine="480"/>
        <w:jc w:val="left"/>
        <w:rPr>
          <w:kern w:val="0"/>
          <w:sz w:val="24"/>
        </w:rPr>
      </w:pPr>
      <w:r w:rsidRPr="00FE28DB">
        <w:rPr>
          <w:rFonts w:hint="eastAsia"/>
          <w:kern w:val="0"/>
          <w:sz w:val="24"/>
        </w:rPr>
        <w:t>产品描述应能明确地识别产品，包括但不限于以下内容：</w:t>
      </w:r>
    </w:p>
    <w:p w14:paraId="5D79233C" w14:textId="77777777" w:rsidR="00DD3329" w:rsidRPr="00DD3329" w:rsidRDefault="00DD3329" w:rsidP="00DD3329">
      <w:pPr>
        <w:pStyle w:val="afffff1"/>
        <w:numPr>
          <w:ilvl w:val="0"/>
          <w:numId w:val="23"/>
        </w:numPr>
        <w:autoSpaceDE w:val="0"/>
        <w:autoSpaceDN w:val="0"/>
        <w:adjustRightInd w:val="0"/>
        <w:spacing w:line="440" w:lineRule="exact"/>
        <w:ind w:firstLineChars="0"/>
        <w:jc w:val="left"/>
        <w:rPr>
          <w:rFonts w:ascii="Times New Roman" w:hAnsi="Times New Roman"/>
          <w:kern w:val="0"/>
          <w:sz w:val="24"/>
        </w:rPr>
      </w:pPr>
      <w:r w:rsidRPr="00DD3329">
        <w:rPr>
          <w:rFonts w:ascii="Times New Roman" w:hAnsi="Times New Roman"/>
          <w:kern w:val="0"/>
          <w:sz w:val="24"/>
        </w:rPr>
        <w:t>产品名称、产品种类、产品规格、产品产地；</w:t>
      </w:r>
    </w:p>
    <w:p w14:paraId="0B499EAD" w14:textId="463184E6" w:rsidR="00DD3329" w:rsidRPr="00DD3329" w:rsidRDefault="00363FA8" w:rsidP="00DD3329">
      <w:pPr>
        <w:pStyle w:val="afffff1"/>
        <w:numPr>
          <w:ilvl w:val="0"/>
          <w:numId w:val="23"/>
        </w:numPr>
        <w:autoSpaceDE w:val="0"/>
        <w:autoSpaceDN w:val="0"/>
        <w:adjustRightInd w:val="0"/>
        <w:spacing w:line="440" w:lineRule="exact"/>
        <w:ind w:firstLineChars="0"/>
        <w:jc w:val="left"/>
        <w:rPr>
          <w:rFonts w:ascii="Times New Roman" w:hAnsi="Times New Roman"/>
          <w:kern w:val="0"/>
          <w:sz w:val="24"/>
        </w:rPr>
      </w:pPr>
      <w:r>
        <w:rPr>
          <w:rFonts w:ascii="Times New Roman" w:hAnsi="Times New Roman"/>
          <w:kern w:val="0"/>
          <w:sz w:val="24"/>
        </w:rPr>
        <w:t>声明单位</w:t>
      </w:r>
      <w:r w:rsidR="00DD3329" w:rsidRPr="00DD3329">
        <w:rPr>
          <w:rFonts w:ascii="Times New Roman" w:hAnsi="Times New Roman"/>
          <w:kern w:val="0"/>
          <w:sz w:val="24"/>
        </w:rPr>
        <w:t>；</w:t>
      </w:r>
    </w:p>
    <w:p w14:paraId="2258F937" w14:textId="77777777" w:rsidR="00DD3329" w:rsidRPr="00DD3329" w:rsidRDefault="00DD3329" w:rsidP="00DD3329">
      <w:pPr>
        <w:pStyle w:val="afffff1"/>
        <w:numPr>
          <w:ilvl w:val="0"/>
          <w:numId w:val="23"/>
        </w:numPr>
        <w:autoSpaceDE w:val="0"/>
        <w:autoSpaceDN w:val="0"/>
        <w:adjustRightInd w:val="0"/>
        <w:spacing w:line="440" w:lineRule="exact"/>
        <w:ind w:firstLineChars="0"/>
        <w:jc w:val="left"/>
        <w:rPr>
          <w:rFonts w:ascii="Times New Roman" w:hAnsi="Times New Roman"/>
          <w:kern w:val="0"/>
          <w:sz w:val="24"/>
        </w:rPr>
      </w:pPr>
      <w:r w:rsidRPr="00DD3329">
        <w:rPr>
          <w:rFonts w:ascii="Times New Roman" w:hAnsi="Times New Roman"/>
          <w:kern w:val="0"/>
          <w:sz w:val="24"/>
        </w:rPr>
        <w:t>生产工艺流程及工艺参数；</w:t>
      </w:r>
    </w:p>
    <w:p w14:paraId="4A5D6675" w14:textId="77777777" w:rsidR="00DD3329" w:rsidRPr="00DD3329" w:rsidRDefault="00DD3329" w:rsidP="00DD3329">
      <w:pPr>
        <w:pStyle w:val="afffff1"/>
        <w:numPr>
          <w:ilvl w:val="0"/>
          <w:numId w:val="23"/>
        </w:numPr>
        <w:autoSpaceDE w:val="0"/>
        <w:autoSpaceDN w:val="0"/>
        <w:adjustRightInd w:val="0"/>
        <w:spacing w:line="440" w:lineRule="exact"/>
        <w:ind w:firstLineChars="0"/>
        <w:jc w:val="left"/>
        <w:rPr>
          <w:rFonts w:ascii="Times New Roman" w:hAnsi="Times New Roman"/>
          <w:kern w:val="0"/>
          <w:sz w:val="24"/>
        </w:rPr>
      </w:pPr>
      <w:r w:rsidRPr="00DD3329">
        <w:rPr>
          <w:rFonts w:ascii="Times New Roman" w:hAnsi="Times New Roman"/>
          <w:kern w:val="0"/>
          <w:sz w:val="24"/>
        </w:rPr>
        <w:t>出厂日期；</w:t>
      </w:r>
    </w:p>
    <w:p w14:paraId="7C30682C" w14:textId="77777777" w:rsidR="00DD3329" w:rsidRPr="00DD3329" w:rsidRDefault="00DD3329" w:rsidP="00DD3329">
      <w:pPr>
        <w:pStyle w:val="afffff1"/>
        <w:numPr>
          <w:ilvl w:val="0"/>
          <w:numId w:val="23"/>
        </w:numPr>
        <w:autoSpaceDE w:val="0"/>
        <w:autoSpaceDN w:val="0"/>
        <w:adjustRightInd w:val="0"/>
        <w:spacing w:line="440" w:lineRule="exact"/>
        <w:ind w:firstLineChars="0"/>
        <w:jc w:val="left"/>
        <w:rPr>
          <w:rFonts w:ascii="Times New Roman" w:hAnsi="Times New Roman"/>
          <w:kern w:val="0"/>
          <w:sz w:val="24"/>
        </w:rPr>
      </w:pPr>
      <w:r w:rsidRPr="00DD3329">
        <w:rPr>
          <w:rFonts w:ascii="Times New Roman" w:hAnsi="Times New Roman"/>
          <w:kern w:val="0"/>
          <w:sz w:val="24"/>
        </w:rPr>
        <w:t>生产商信息；</w:t>
      </w:r>
    </w:p>
    <w:p w14:paraId="68195FBC" w14:textId="77777777" w:rsidR="00DD3329" w:rsidRPr="00DD3329" w:rsidRDefault="00DD3329" w:rsidP="00DD3329">
      <w:pPr>
        <w:pStyle w:val="afffff1"/>
        <w:numPr>
          <w:ilvl w:val="0"/>
          <w:numId w:val="23"/>
        </w:numPr>
        <w:autoSpaceDE w:val="0"/>
        <w:autoSpaceDN w:val="0"/>
        <w:adjustRightInd w:val="0"/>
        <w:spacing w:line="440" w:lineRule="exact"/>
        <w:ind w:firstLineChars="0"/>
        <w:jc w:val="left"/>
        <w:rPr>
          <w:rFonts w:ascii="Times New Roman" w:hAnsi="Times New Roman"/>
          <w:kern w:val="0"/>
          <w:sz w:val="24"/>
        </w:rPr>
      </w:pPr>
      <w:r w:rsidRPr="00DD3329">
        <w:rPr>
          <w:rFonts w:ascii="Times New Roman" w:hAnsi="Times New Roman"/>
          <w:kern w:val="0"/>
          <w:sz w:val="24"/>
        </w:rPr>
        <w:t>产品标准编号；</w:t>
      </w:r>
    </w:p>
    <w:p w14:paraId="307AA3F6" w14:textId="77777777" w:rsidR="00DD3329" w:rsidRPr="00DD3329" w:rsidRDefault="00DD3329" w:rsidP="00DD3329">
      <w:pPr>
        <w:pStyle w:val="afffff1"/>
        <w:numPr>
          <w:ilvl w:val="0"/>
          <w:numId w:val="23"/>
        </w:numPr>
        <w:autoSpaceDE w:val="0"/>
        <w:autoSpaceDN w:val="0"/>
        <w:adjustRightInd w:val="0"/>
        <w:spacing w:line="440" w:lineRule="exact"/>
        <w:ind w:firstLineChars="0"/>
        <w:jc w:val="left"/>
        <w:rPr>
          <w:rFonts w:ascii="Times New Roman" w:hAnsi="Times New Roman"/>
          <w:kern w:val="0"/>
          <w:sz w:val="24"/>
        </w:rPr>
      </w:pPr>
      <w:r w:rsidRPr="00DD3329">
        <w:rPr>
          <w:rFonts w:ascii="Times New Roman" w:hAnsi="Times New Roman"/>
          <w:kern w:val="0"/>
          <w:sz w:val="24"/>
        </w:rPr>
        <w:t>相关质量标准的编号。</w:t>
      </w:r>
    </w:p>
    <w:p w14:paraId="098100E1" w14:textId="29F6772D" w:rsidR="00325B6C" w:rsidRPr="00DD3329" w:rsidRDefault="00325B6C" w:rsidP="00325B6C">
      <w:pPr>
        <w:pStyle w:val="4"/>
        <w:spacing w:line="377" w:lineRule="auto"/>
        <w:ind w:leftChars="200" w:left="420"/>
        <w:rPr>
          <w:rFonts w:ascii="Times New Roman" w:hAnsi="Times New Roman"/>
          <w:sz w:val="24"/>
        </w:rPr>
      </w:pPr>
      <w:r w:rsidRPr="00DD3329">
        <w:rPr>
          <w:rFonts w:ascii="Times New Roman" w:hAnsi="Times New Roman" w:hint="eastAsia"/>
          <w:sz w:val="24"/>
        </w:rPr>
        <w:t>3.5.2.</w:t>
      </w:r>
      <w:r>
        <w:rPr>
          <w:rFonts w:ascii="Times New Roman" w:hAnsi="Times New Roman" w:hint="eastAsia"/>
          <w:sz w:val="24"/>
        </w:rPr>
        <w:t>2</w:t>
      </w:r>
      <w:r w:rsidRPr="00DD3329">
        <w:rPr>
          <w:rFonts w:ascii="Times New Roman" w:hAnsi="Times New Roman" w:hint="eastAsia"/>
          <w:sz w:val="24"/>
        </w:rPr>
        <w:t xml:space="preserve"> </w:t>
      </w:r>
      <w:r w:rsidR="00363FA8">
        <w:rPr>
          <w:rFonts w:ascii="Times New Roman" w:hAnsi="Times New Roman" w:hint="eastAsia"/>
          <w:sz w:val="24"/>
        </w:rPr>
        <w:t>声明单位</w:t>
      </w:r>
    </w:p>
    <w:p w14:paraId="0F217DC7" w14:textId="74C447E7" w:rsidR="00250C85" w:rsidRDefault="00250C85" w:rsidP="00801100">
      <w:pPr>
        <w:autoSpaceDE w:val="0"/>
        <w:autoSpaceDN w:val="0"/>
        <w:adjustRightInd w:val="0"/>
        <w:spacing w:line="440" w:lineRule="exact"/>
        <w:ind w:firstLineChars="200" w:firstLine="480"/>
        <w:jc w:val="left"/>
        <w:rPr>
          <w:kern w:val="0"/>
          <w:sz w:val="24"/>
        </w:rPr>
      </w:pPr>
      <w:r w:rsidRPr="00250C85">
        <w:rPr>
          <w:rFonts w:hint="eastAsia"/>
          <w:kern w:val="0"/>
          <w:sz w:val="24"/>
        </w:rPr>
        <w:t>可根据食品接触用金属容器产品种类及碳足迹核算目的明确</w:t>
      </w:r>
      <w:r w:rsidR="00363FA8">
        <w:rPr>
          <w:rFonts w:hint="eastAsia"/>
          <w:kern w:val="0"/>
          <w:sz w:val="24"/>
        </w:rPr>
        <w:t>声明单位</w:t>
      </w:r>
      <w:r w:rsidRPr="00250C85">
        <w:rPr>
          <w:rFonts w:hint="eastAsia"/>
          <w:kern w:val="0"/>
          <w:sz w:val="24"/>
        </w:rPr>
        <w:t>。</w:t>
      </w:r>
    </w:p>
    <w:p w14:paraId="2943DE91" w14:textId="6F9688D8" w:rsidR="00266A58" w:rsidRDefault="00266A58" w:rsidP="00801100">
      <w:pPr>
        <w:autoSpaceDE w:val="0"/>
        <w:autoSpaceDN w:val="0"/>
        <w:adjustRightInd w:val="0"/>
        <w:spacing w:line="440" w:lineRule="exact"/>
        <w:ind w:firstLineChars="200" w:firstLine="480"/>
        <w:jc w:val="left"/>
        <w:rPr>
          <w:kern w:val="0"/>
          <w:sz w:val="24"/>
        </w:rPr>
      </w:pPr>
      <w:r>
        <w:rPr>
          <w:rFonts w:hint="eastAsia"/>
          <w:kern w:val="0"/>
          <w:sz w:val="24"/>
        </w:rPr>
        <w:t>食品接触用金属容器产品众多，</w:t>
      </w:r>
      <w:r w:rsidR="00363FA8">
        <w:rPr>
          <w:rFonts w:hint="eastAsia"/>
          <w:kern w:val="0"/>
          <w:sz w:val="24"/>
        </w:rPr>
        <w:t>声明单位</w:t>
      </w:r>
      <w:r w:rsidR="00D1480B">
        <w:rPr>
          <w:rFonts w:hint="eastAsia"/>
          <w:kern w:val="0"/>
          <w:sz w:val="24"/>
        </w:rPr>
        <w:t>的量化表述</w:t>
      </w:r>
      <w:r w:rsidR="00C829A9">
        <w:rPr>
          <w:rFonts w:hint="eastAsia"/>
          <w:kern w:val="0"/>
          <w:sz w:val="24"/>
        </w:rPr>
        <w:t>可使用</w:t>
      </w:r>
      <w:r w:rsidR="00D1480B">
        <w:rPr>
          <w:rFonts w:hint="eastAsia"/>
          <w:kern w:val="0"/>
          <w:sz w:val="24"/>
        </w:rPr>
        <w:t>数量单位</w:t>
      </w:r>
      <w:r>
        <w:rPr>
          <w:rFonts w:hint="eastAsia"/>
          <w:kern w:val="0"/>
          <w:sz w:val="24"/>
        </w:rPr>
        <w:t>，</w:t>
      </w:r>
      <w:r w:rsidR="00C829A9">
        <w:rPr>
          <w:rFonts w:hint="eastAsia"/>
          <w:kern w:val="0"/>
          <w:sz w:val="24"/>
        </w:rPr>
        <w:t>也可以使用重量单位，</w:t>
      </w:r>
      <w:r w:rsidR="00D1480B">
        <w:rPr>
          <w:rFonts w:hint="eastAsia"/>
          <w:kern w:val="0"/>
          <w:sz w:val="24"/>
        </w:rPr>
        <w:t>使用数量单位时应另外写明重量，以确保相同产品之间</w:t>
      </w:r>
      <w:r w:rsidR="000547E2">
        <w:rPr>
          <w:rFonts w:hint="eastAsia"/>
          <w:kern w:val="0"/>
          <w:sz w:val="24"/>
        </w:rPr>
        <w:t>具有</w:t>
      </w:r>
      <w:r w:rsidR="00D1480B">
        <w:rPr>
          <w:rFonts w:hint="eastAsia"/>
          <w:kern w:val="0"/>
          <w:sz w:val="24"/>
        </w:rPr>
        <w:t>可比性，</w:t>
      </w:r>
      <w:r>
        <w:rPr>
          <w:rFonts w:hint="eastAsia"/>
          <w:kern w:val="0"/>
          <w:sz w:val="24"/>
        </w:rPr>
        <w:t>如</w:t>
      </w:r>
      <w:r>
        <w:rPr>
          <w:rFonts w:hint="eastAsia"/>
          <w:kern w:val="0"/>
          <w:sz w:val="24"/>
        </w:rPr>
        <w:t>1</w:t>
      </w:r>
      <w:r>
        <w:rPr>
          <w:rFonts w:hint="eastAsia"/>
          <w:kern w:val="0"/>
          <w:sz w:val="24"/>
        </w:rPr>
        <w:t>只奶粉罐</w:t>
      </w:r>
      <w:r w:rsidR="00D1480B">
        <w:rPr>
          <w:rFonts w:hint="eastAsia"/>
          <w:kern w:val="0"/>
          <w:sz w:val="24"/>
        </w:rPr>
        <w:t>（</w:t>
      </w:r>
      <w:r w:rsidR="00D1480B">
        <w:rPr>
          <w:rFonts w:hint="eastAsia"/>
          <w:kern w:val="0"/>
          <w:sz w:val="24"/>
        </w:rPr>
        <w:t>20g</w:t>
      </w:r>
      <w:r w:rsidR="00D1480B">
        <w:rPr>
          <w:rFonts w:hint="eastAsia"/>
          <w:kern w:val="0"/>
          <w:sz w:val="24"/>
        </w:rPr>
        <w:t>）</w:t>
      </w:r>
      <w:r>
        <w:rPr>
          <w:rFonts w:hint="eastAsia"/>
          <w:kern w:val="0"/>
          <w:sz w:val="24"/>
        </w:rPr>
        <w:t>、</w:t>
      </w:r>
      <w:r>
        <w:rPr>
          <w:rFonts w:hint="eastAsia"/>
          <w:kern w:val="0"/>
          <w:sz w:val="24"/>
        </w:rPr>
        <w:t>1</w:t>
      </w:r>
      <w:r>
        <w:rPr>
          <w:rFonts w:hint="eastAsia"/>
          <w:kern w:val="0"/>
          <w:sz w:val="24"/>
        </w:rPr>
        <w:t>只易拉罐</w:t>
      </w:r>
      <w:r w:rsidR="00D1480B">
        <w:rPr>
          <w:rFonts w:hint="eastAsia"/>
          <w:kern w:val="0"/>
          <w:sz w:val="24"/>
        </w:rPr>
        <w:t>（</w:t>
      </w:r>
      <w:r w:rsidR="00D1480B">
        <w:rPr>
          <w:rFonts w:hint="eastAsia"/>
          <w:kern w:val="0"/>
          <w:sz w:val="24"/>
        </w:rPr>
        <w:t>15g</w:t>
      </w:r>
      <w:r w:rsidR="00D1480B">
        <w:rPr>
          <w:rFonts w:hint="eastAsia"/>
          <w:kern w:val="0"/>
          <w:sz w:val="24"/>
        </w:rPr>
        <w:t>）</w:t>
      </w:r>
      <w:r w:rsidR="00C829A9">
        <w:rPr>
          <w:rFonts w:hint="eastAsia"/>
          <w:kern w:val="0"/>
          <w:sz w:val="24"/>
        </w:rPr>
        <w:t>、</w:t>
      </w:r>
      <w:r w:rsidR="00C829A9">
        <w:rPr>
          <w:rFonts w:hint="eastAsia"/>
          <w:kern w:val="0"/>
          <w:sz w:val="24"/>
        </w:rPr>
        <w:t>1</w:t>
      </w:r>
      <w:r w:rsidR="00C829A9">
        <w:rPr>
          <w:rFonts w:hint="eastAsia"/>
          <w:kern w:val="0"/>
          <w:sz w:val="24"/>
        </w:rPr>
        <w:t>吨易拉罐</w:t>
      </w:r>
      <w:r>
        <w:rPr>
          <w:rFonts w:hint="eastAsia"/>
          <w:kern w:val="0"/>
          <w:sz w:val="24"/>
        </w:rPr>
        <w:t>等</w:t>
      </w:r>
      <w:r w:rsidR="00C829A9">
        <w:rPr>
          <w:rFonts w:hint="eastAsia"/>
          <w:kern w:val="0"/>
          <w:sz w:val="24"/>
        </w:rPr>
        <w:t>；也可单独对罐（瓶）身或罐（瓶）盖进行碳足迹评价，如</w:t>
      </w:r>
      <w:r w:rsidR="00D1480B">
        <w:rPr>
          <w:rFonts w:hint="eastAsia"/>
          <w:kern w:val="0"/>
          <w:sz w:val="24"/>
        </w:rPr>
        <w:t>1</w:t>
      </w:r>
      <w:r w:rsidR="00D1480B">
        <w:rPr>
          <w:rFonts w:hint="eastAsia"/>
          <w:kern w:val="0"/>
          <w:sz w:val="24"/>
        </w:rPr>
        <w:t>只铝质易开盖（</w:t>
      </w:r>
      <w:r w:rsidR="00D1480B">
        <w:rPr>
          <w:rFonts w:hint="eastAsia"/>
          <w:kern w:val="0"/>
          <w:sz w:val="24"/>
        </w:rPr>
        <w:t>2g</w:t>
      </w:r>
      <w:r w:rsidR="00D1480B">
        <w:rPr>
          <w:rFonts w:hint="eastAsia"/>
          <w:kern w:val="0"/>
          <w:sz w:val="24"/>
        </w:rPr>
        <w:t>）等</w:t>
      </w:r>
      <w:r w:rsidR="00E56472">
        <w:rPr>
          <w:rFonts w:hint="eastAsia"/>
          <w:kern w:val="0"/>
          <w:sz w:val="24"/>
        </w:rPr>
        <w:t>。</w:t>
      </w:r>
    </w:p>
    <w:p w14:paraId="481DF20D" w14:textId="171073D9" w:rsidR="00363FA8" w:rsidRPr="00363FA8" w:rsidRDefault="00363FA8" w:rsidP="00801100">
      <w:pPr>
        <w:autoSpaceDE w:val="0"/>
        <w:autoSpaceDN w:val="0"/>
        <w:adjustRightInd w:val="0"/>
        <w:spacing w:line="440" w:lineRule="exact"/>
        <w:ind w:firstLineChars="200" w:firstLine="480"/>
        <w:jc w:val="left"/>
        <w:rPr>
          <w:kern w:val="0"/>
          <w:sz w:val="24"/>
        </w:rPr>
      </w:pPr>
      <w:r w:rsidRPr="00363FA8">
        <w:rPr>
          <w:rFonts w:hint="eastAsia"/>
          <w:kern w:val="0"/>
          <w:sz w:val="24"/>
        </w:rPr>
        <w:t>声明单位应仅用于产品部分碳足迹，如果省略的生命周期阶段相同，则产品部分碳足迹可基于相同的声明单位进行比较。</w:t>
      </w:r>
    </w:p>
    <w:p w14:paraId="7359FB35" w14:textId="77922491" w:rsidR="00E56472" w:rsidRPr="00DD3329" w:rsidRDefault="00E56472" w:rsidP="00DD3329">
      <w:pPr>
        <w:pStyle w:val="4"/>
        <w:spacing w:line="377" w:lineRule="auto"/>
        <w:ind w:leftChars="200" w:left="420"/>
        <w:rPr>
          <w:rFonts w:ascii="Times New Roman" w:hAnsi="Times New Roman"/>
          <w:sz w:val="24"/>
        </w:rPr>
      </w:pPr>
      <w:r w:rsidRPr="00DD3329">
        <w:rPr>
          <w:rFonts w:ascii="Times New Roman" w:hAnsi="Times New Roman" w:hint="eastAsia"/>
          <w:sz w:val="24"/>
        </w:rPr>
        <w:lastRenderedPageBreak/>
        <w:t xml:space="preserve">3.5.2.3 </w:t>
      </w:r>
      <w:r w:rsidRPr="00DD3329">
        <w:rPr>
          <w:rFonts w:ascii="Times New Roman" w:hAnsi="Times New Roman" w:hint="eastAsia"/>
          <w:sz w:val="24"/>
        </w:rPr>
        <w:t>系统边界</w:t>
      </w:r>
    </w:p>
    <w:p w14:paraId="1BF982D8" w14:textId="63D9A0AB" w:rsidR="00DD3329" w:rsidRDefault="00DD3329" w:rsidP="00DD3329">
      <w:pPr>
        <w:autoSpaceDE w:val="0"/>
        <w:autoSpaceDN w:val="0"/>
        <w:adjustRightInd w:val="0"/>
        <w:spacing w:line="440" w:lineRule="exact"/>
        <w:ind w:firstLineChars="200" w:firstLine="480"/>
        <w:jc w:val="left"/>
        <w:rPr>
          <w:kern w:val="0"/>
          <w:sz w:val="24"/>
        </w:rPr>
      </w:pPr>
      <w:r w:rsidRPr="00F2574B">
        <w:rPr>
          <w:rFonts w:hint="eastAsia"/>
          <w:kern w:val="0"/>
          <w:sz w:val="24"/>
        </w:rPr>
        <w:t>（</w:t>
      </w:r>
      <w:r>
        <w:rPr>
          <w:rFonts w:hint="eastAsia"/>
          <w:kern w:val="0"/>
          <w:sz w:val="24"/>
        </w:rPr>
        <w:t>1</w:t>
      </w:r>
      <w:r w:rsidRPr="00F2574B">
        <w:rPr>
          <w:rFonts w:hint="eastAsia"/>
          <w:kern w:val="0"/>
          <w:sz w:val="24"/>
        </w:rPr>
        <w:t>）</w:t>
      </w:r>
      <w:r>
        <w:rPr>
          <w:rFonts w:hint="eastAsia"/>
          <w:kern w:val="0"/>
          <w:sz w:val="24"/>
        </w:rPr>
        <w:t>概述</w:t>
      </w:r>
    </w:p>
    <w:p w14:paraId="25378C7E" w14:textId="75AD7F4C" w:rsidR="00E56472" w:rsidRDefault="00E56472" w:rsidP="00801100">
      <w:pPr>
        <w:autoSpaceDE w:val="0"/>
        <w:autoSpaceDN w:val="0"/>
        <w:adjustRightInd w:val="0"/>
        <w:spacing w:line="440" w:lineRule="exact"/>
        <w:ind w:firstLineChars="200" w:firstLine="480"/>
        <w:jc w:val="left"/>
        <w:rPr>
          <w:kern w:val="0"/>
          <w:sz w:val="24"/>
        </w:rPr>
      </w:pPr>
      <w:r>
        <w:rPr>
          <w:rFonts w:hint="eastAsia"/>
          <w:kern w:val="0"/>
          <w:sz w:val="24"/>
        </w:rPr>
        <w:t>确定系统边界，即确定纳入模型化系统的单元过程，依据国家标准《温室气体</w:t>
      </w:r>
      <w:r>
        <w:rPr>
          <w:rFonts w:hint="eastAsia"/>
          <w:kern w:val="0"/>
          <w:sz w:val="24"/>
        </w:rPr>
        <w:t xml:space="preserve"> </w:t>
      </w:r>
      <w:r>
        <w:rPr>
          <w:rFonts w:hint="eastAsia"/>
          <w:kern w:val="0"/>
          <w:sz w:val="24"/>
        </w:rPr>
        <w:t>产品碳足迹</w:t>
      </w:r>
      <w:r>
        <w:rPr>
          <w:rFonts w:hint="eastAsia"/>
          <w:kern w:val="0"/>
          <w:sz w:val="24"/>
        </w:rPr>
        <w:t xml:space="preserve"> </w:t>
      </w:r>
      <w:r>
        <w:rPr>
          <w:rFonts w:hint="eastAsia"/>
          <w:kern w:val="0"/>
          <w:sz w:val="24"/>
        </w:rPr>
        <w:t>量化要求和指南》（</w:t>
      </w:r>
      <w:r>
        <w:rPr>
          <w:rFonts w:hint="eastAsia"/>
          <w:kern w:val="0"/>
          <w:sz w:val="24"/>
        </w:rPr>
        <w:t>GB/T 24067-2024</w:t>
      </w:r>
      <w:r>
        <w:rPr>
          <w:rFonts w:hint="eastAsia"/>
          <w:kern w:val="0"/>
          <w:sz w:val="24"/>
        </w:rPr>
        <w:t>）中产品碳足迹的规定，结合行业实际情况，将食品接触用金属容器</w:t>
      </w:r>
      <w:r w:rsidR="0020356D">
        <w:rPr>
          <w:rFonts w:hint="eastAsia"/>
          <w:kern w:val="0"/>
          <w:sz w:val="24"/>
        </w:rPr>
        <w:t>的生命周期划分为原材料获取阶段、产品生产阶段。</w:t>
      </w:r>
    </w:p>
    <w:p w14:paraId="00B77C4C" w14:textId="02E8310E" w:rsidR="00511574" w:rsidRDefault="00DD3329" w:rsidP="00511574">
      <w:pPr>
        <w:autoSpaceDE w:val="0"/>
        <w:autoSpaceDN w:val="0"/>
        <w:adjustRightInd w:val="0"/>
        <w:jc w:val="center"/>
      </w:pPr>
      <w:r>
        <w:rPr>
          <w:rFonts w:hint="eastAsia"/>
        </w:rPr>
        <w:object w:dxaOrig="7635" w:dyaOrig="4260" w14:anchorId="2DB7E565">
          <v:shape id="_x0000_i1028" type="#_x0000_t75" style="width:420.2pt;height:234.25pt" o:ole="">
            <v:imagedata r:id="rId17" o:title=""/>
          </v:shape>
          <o:OLEObject Type="Embed" ProgID="Visio.Drawing.15" ShapeID="_x0000_i1028" DrawAspect="Content" ObjectID="_1819541940" r:id="rId18"/>
        </w:object>
      </w:r>
    </w:p>
    <w:p w14:paraId="3CBE4855" w14:textId="65DF9A26" w:rsidR="005D6AA3" w:rsidRPr="005D6AA3" w:rsidRDefault="005D6AA3" w:rsidP="005D6AA3">
      <w:pPr>
        <w:pStyle w:val="a3"/>
        <w:spacing w:before="156" w:after="156"/>
      </w:pPr>
      <w:r>
        <w:rPr>
          <w:rFonts w:hint="eastAsia"/>
        </w:rPr>
        <w:t>食品接触用金属容器产品碳足迹系统边界</w:t>
      </w:r>
    </w:p>
    <w:p w14:paraId="7ED473EC" w14:textId="52DE5511" w:rsidR="00511574" w:rsidRDefault="00511574" w:rsidP="00511574">
      <w:pPr>
        <w:autoSpaceDE w:val="0"/>
        <w:autoSpaceDN w:val="0"/>
        <w:adjustRightInd w:val="0"/>
        <w:spacing w:line="360" w:lineRule="auto"/>
        <w:ind w:firstLineChars="200" w:firstLine="480"/>
        <w:rPr>
          <w:kern w:val="0"/>
          <w:sz w:val="24"/>
        </w:rPr>
      </w:pPr>
      <w:r>
        <w:rPr>
          <w:rFonts w:hint="eastAsia"/>
          <w:kern w:val="0"/>
          <w:sz w:val="24"/>
        </w:rPr>
        <w:t>食品接触用金属容器产业链下游</w:t>
      </w:r>
      <w:r w:rsidR="00DE7F66">
        <w:rPr>
          <w:rFonts w:hint="eastAsia"/>
          <w:kern w:val="0"/>
          <w:sz w:val="24"/>
        </w:rPr>
        <w:t>包含</w:t>
      </w:r>
      <w:r>
        <w:rPr>
          <w:rFonts w:hint="eastAsia"/>
          <w:kern w:val="0"/>
          <w:sz w:val="24"/>
        </w:rPr>
        <w:t>食品</w:t>
      </w:r>
      <w:r w:rsidR="000B2EE1">
        <w:rPr>
          <w:rFonts w:hint="eastAsia"/>
          <w:kern w:val="0"/>
          <w:sz w:val="24"/>
        </w:rPr>
        <w:t>行业</w:t>
      </w:r>
      <w:r>
        <w:rPr>
          <w:rFonts w:hint="eastAsia"/>
          <w:kern w:val="0"/>
          <w:sz w:val="24"/>
        </w:rPr>
        <w:t>、饮料</w:t>
      </w:r>
      <w:r w:rsidR="000B2EE1">
        <w:rPr>
          <w:rFonts w:hint="eastAsia"/>
          <w:kern w:val="0"/>
          <w:sz w:val="24"/>
        </w:rPr>
        <w:t>行业</w:t>
      </w:r>
      <w:r>
        <w:rPr>
          <w:rFonts w:hint="eastAsia"/>
          <w:kern w:val="0"/>
          <w:sz w:val="24"/>
        </w:rPr>
        <w:t>等，</w:t>
      </w:r>
      <w:r w:rsidR="00DE7F66">
        <w:rPr>
          <w:rFonts w:hint="eastAsia"/>
          <w:kern w:val="0"/>
          <w:sz w:val="24"/>
        </w:rPr>
        <w:t>其本质上作为一种食品包装，</w:t>
      </w:r>
      <w:r w:rsidR="00854446">
        <w:rPr>
          <w:rFonts w:hint="eastAsia"/>
          <w:kern w:val="0"/>
          <w:sz w:val="24"/>
        </w:rPr>
        <w:t>被用作下游产品灌装、消费使用等（即全生命周期中的产品使用阶段）</w:t>
      </w:r>
      <w:r>
        <w:rPr>
          <w:rFonts w:hint="eastAsia"/>
          <w:kern w:val="0"/>
          <w:sz w:val="24"/>
        </w:rPr>
        <w:t>，</w:t>
      </w:r>
      <w:r w:rsidR="00854446">
        <w:rPr>
          <w:rFonts w:hint="eastAsia"/>
          <w:kern w:val="0"/>
          <w:sz w:val="24"/>
        </w:rPr>
        <w:t>本标准的产品碳足迹核算</w:t>
      </w:r>
      <w:r>
        <w:rPr>
          <w:rFonts w:hint="eastAsia"/>
          <w:kern w:val="0"/>
          <w:sz w:val="24"/>
        </w:rPr>
        <w:t>重点在于为下游用户提供碳足迹数据</w:t>
      </w:r>
      <w:r w:rsidR="006C76C4">
        <w:rPr>
          <w:rFonts w:hint="eastAsia"/>
          <w:kern w:val="0"/>
          <w:sz w:val="24"/>
        </w:rPr>
        <w:t>基础支撑</w:t>
      </w:r>
      <w:r>
        <w:rPr>
          <w:rFonts w:hint="eastAsia"/>
          <w:kern w:val="0"/>
          <w:sz w:val="24"/>
        </w:rPr>
        <w:t>，</w:t>
      </w:r>
      <w:r w:rsidR="00480626">
        <w:rPr>
          <w:rFonts w:hint="eastAsia"/>
          <w:kern w:val="0"/>
          <w:sz w:val="24"/>
        </w:rPr>
        <w:t>并</w:t>
      </w:r>
      <w:r w:rsidR="006C76C4">
        <w:rPr>
          <w:rFonts w:hint="eastAsia"/>
          <w:kern w:val="0"/>
          <w:sz w:val="24"/>
        </w:rPr>
        <w:t>避免碳足迹重复计算，</w:t>
      </w:r>
      <w:r w:rsidR="00854446">
        <w:rPr>
          <w:rFonts w:hint="eastAsia"/>
          <w:kern w:val="0"/>
          <w:sz w:val="24"/>
        </w:rPr>
        <w:t>因此系统边界仅考虑从“摇篮”到“大门”，不包含产品使用阶段及废弃处置阶段，</w:t>
      </w:r>
      <w:r w:rsidR="006C76C4">
        <w:rPr>
          <w:rFonts w:hint="eastAsia"/>
          <w:kern w:val="0"/>
          <w:sz w:val="24"/>
        </w:rPr>
        <w:t>并建议</w:t>
      </w:r>
      <w:r>
        <w:rPr>
          <w:rFonts w:hint="eastAsia"/>
          <w:kern w:val="0"/>
          <w:sz w:val="24"/>
        </w:rPr>
        <w:t>将产品使用过程</w:t>
      </w:r>
      <w:r w:rsidR="006C76C4">
        <w:rPr>
          <w:rFonts w:hint="eastAsia"/>
          <w:kern w:val="0"/>
          <w:sz w:val="24"/>
        </w:rPr>
        <w:t>及废弃处置过程</w:t>
      </w:r>
      <w:r>
        <w:rPr>
          <w:rFonts w:hint="eastAsia"/>
          <w:kern w:val="0"/>
          <w:sz w:val="24"/>
        </w:rPr>
        <w:t>划分到下游产品的</w:t>
      </w:r>
      <w:r w:rsidR="006C76C4">
        <w:rPr>
          <w:rFonts w:hint="eastAsia"/>
          <w:kern w:val="0"/>
          <w:sz w:val="24"/>
        </w:rPr>
        <w:t>系统边界</w:t>
      </w:r>
      <w:r>
        <w:rPr>
          <w:rFonts w:hint="eastAsia"/>
          <w:kern w:val="0"/>
          <w:sz w:val="24"/>
        </w:rPr>
        <w:t>中，如食品罐头产品碳足迹、罐装饮料产品碳足迹等。</w:t>
      </w:r>
    </w:p>
    <w:p w14:paraId="40A6BB23" w14:textId="478C8011" w:rsidR="004E5DAE" w:rsidRDefault="004E5DAE" w:rsidP="00923EE8">
      <w:pPr>
        <w:autoSpaceDE w:val="0"/>
        <w:autoSpaceDN w:val="0"/>
        <w:adjustRightInd w:val="0"/>
        <w:spacing w:line="360" w:lineRule="auto"/>
        <w:ind w:firstLineChars="200" w:firstLine="480"/>
        <w:rPr>
          <w:kern w:val="0"/>
          <w:sz w:val="24"/>
        </w:rPr>
      </w:pPr>
      <w:r>
        <w:rPr>
          <w:rFonts w:hint="eastAsia"/>
          <w:kern w:val="0"/>
          <w:sz w:val="24"/>
        </w:rPr>
        <w:t>为避免各阶段划分的模糊性，本标准分别对各单元过程应考虑的输入和输出进行列项，并对需要特别说明的过程进行注释。由于</w:t>
      </w:r>
      <w:r>
        <w:rPr>
          <w:rFonts w:hint="eastAsia"/>
          <w:sz w:val="24"/>
        </w:rPr>
        <w:t>食品接触用金属容器所包含的金属罐（瓶）身和罐（瓶）盖加工工艺和质量要求不同，通常在不同工厂中生产，考虑到</w:t>
      </w:r>
      <w:r w:rsidR="00923EE8">
        <w:rPr>
          <w:rFonts w:hint="eastAsia"/>
          <w:sz w:val="24"/>
        </w:rPr>
        <w:t>不同生产者的不同目的，本标准可分别进行食品接触用金属罐（瓶）身或食品接触用金属罐（瓶）盖的产品碳足迹核算，也可对组合后的终产品进行</w:t>
      </w:r>
      <w:r w:rsidR="00923EE8">
        <w:rPr>
          <w:rFonts w:hint="eastAsia"/>
          <w:sz w:val="24"/>
        </w:rPr>
        <w:lastRenderedPageBreak/>
        <w:t>全过程的产品碳足迹核算</w:t>
      </w:r>
      <w:r>
        <w:rPr>
          <w:rFonts w:hint="eastAsia"/>
          <w:kern w:val="0"/>
          <w:sz w:val="24"/>
        </w:rPr>
        <w:t>。</w:t>
      </w:r>
      <w:r w:rsidR="00923EE8">
        <w:rPr>
          <w:rFonts w:hint="eastAsia"/>
          <w:kern w:val="0"/>
          <w:sz w:val="24"/>
        </w:rPr>
        <w:t>在进行产品碳足迹核算时，</w:t>
      </w:r>
      <w:r>
        <w:rPr>
          <w:rFonts w:hint="eastAsia"/>
          <w:kern w:val="0"/>
          <w:sz w:val="24"/>
        </w:rPr>
        <w:t>系统边界应视</w:t>
      </w:r>
      <w:r w:rsidR="00923EE8">
        <w:rPr>
          <w:rFonts w:hint="eastAsia"/>
          <w:kern w:val="0"/>
          <w:sz w:val="24"/>
        </w:rPr>
        <w:t>目标产品的种类</w:t>
      </w:r>
      <w:r w:rsidR="006B53EF">
        <w:rPr>
          <w:rFonts w:hint="eastAsia"/>
          <w:kern w:val="0"/>
          <w:sz w:val="24"/>
        </w:rPr>
        <w:t>和</w:t>
      </w:r>
      <w:r w:rsidR="00923EE8">
        <w:rPr>
          <w:rFonts w:hint="eastAsia"/>
          <w:kern w:val="0"/>
          <w:sz w:val="24"/>
        </w:rPr>
        <w:t>评价目的在取舍准则范围内进行</w:t>
      </w:r>
      <w:r>
        <w:rPr>
          <w:rFonts w:hint="eastAsia"/>
          <w:kern w:val="0"/>
          <w:sz w:val="24"/>
        </w:rPr>
        <w:t>调整</w:t>
      </w:r>
      <w:r w:rsidR="00923EE8">
        <w:rPr>
          <w:rFonts w:hint="eastAsia"/>
          <w:kern w:val="0"/>
          <w:sz w:val="24"/>
        </w:rPr>
        <w:t>，并应在报告中记录调整过程和敏感性分析结果。</w:t>
      </w:r>
      <w:r>
        <w:rPr>
          <w:rFonts w:hint="eastAsia"/>
          <w:kern w:val="0"/>
          <w:sz w:val="24"/>
        </w:rPr>
        <w:t>不同产品的分类参考本标准</w:t>
      </w:r>
      <w:r>
        <w:rPr>
          <w:rFonts w:hint="eastAsia"/>
          <w:kern w:val="0"/>
          <w:sz w:val="24"/>
        </w:rPr>
        <w:t>5.</w:t>
      </w:r>
      <w:r w:rsidR="00DD3329">
        <w:rPr>
          <w:rFonts w:hint="eastAsia"/>
          <w:kern w:val="0"/>
          <w:sz w:val="24"/>
        </w:rPr>
        <w:t>1.1</w:t>
      </w:r>
      <w:r>
        <w:rPr>
          <w:rFonts w:hint="eastAsia"/>
          <w:kern w:val="0"/>
          <w:sz w:val="24"/>
        </w:rPr>
        <w:t>产品</w:t>
      </w:r>
      <w:r w:rsidR="00325B6C">
        <w:rPr>
          <w:rFonts w:hint="eastAsia"/>
          <w:kern w:val="0"/>
          <w:sz w:val="24"/>
        </w:rPr>
        <w:t>种类</w:t>
      </w:r>
      <w:r>
        <w:rPr>
          <w:rFonts w:hint="eastAsia"/>
          <w:kern w:val="0"/>
          <w:sz w:val="24"/>
        </w:rPr>
        <w:t>条目，经调研获取的不同产品工艺流程参考本标准附录</w:t>
      </w:r>
      <w:r w:rsidR="00923EE8">
        <w:rPr>
          <w:rFonts w:hint="eastAsia"/>
          <w:kern w:val="0"/>
          <w:sz w:val="24"/>
        </w:rPr>
        <w:t>A</w:t>
      </w:r>
      <w:r>
        <w:rPr>
          <w:rFonts w:hint="eastAsia"/>
          <w:kern w:val="0"/>
          <w:sz w:val="24"/>
        </w:rPr>
        <w:t>。</w:t>
      </w:r>
    </w:p>
    <w:p w14:paraId="6858FD23" w14:textId="211C4BBF" w:rsidR="00325B6C" w:rsidRPr="00F2574B" w:rsidRDefault="00325B6C" w:rsidP="00325B6C">
      <w:pPr>
        <w:autoSpaceDE w:val="0"/>
        <w:autoSpaceDN w:val="0"/>
        <w:adjustRightInd w:val="0"/>
        <w:snapToGrid w:val="0"/>
        <w:spacing w:line="360" w:lineRule="auto"/>
        <w:ind w:firstLineChars="200" w:firstLine="480"/>
        <w:jc w:val="left"/>
        <w:rPr>
          <w:kern w:val="0"/>
          <w:sz w:val="24"/>
        </w:rPr>
      </w:pPr>
      <w:r>
        <w:rPr>
          <w:rFonts w:hint="eastAsia"/>
          <w:kern w:val="0"/>
          <w:sz w:val="24"/>
        </w:rPr>
        <w:t>（</w:t>
      </w:r>
      <w:r>
        <w:rPr>
          <w:rFonts w:hint="eastAsia"/>
          <w:kern w:val="0"/>
          <w:sz w:val="24"/>
        </w:rPr>
        <w:t>2</w:t>
      </w:r>
      <w:r>
        <w:rPr>
          <w:rFonts w:hint="eastAsia"/>
          <w:kern w:val="0"/>
          <w:sz w:val="24"/>
        </w:rPr>
        <w:t>）</w:t>
      </w:r>
      <w:r w:rsidRPr="00F2574B">
        <w:rPr>
          <w:rFonts w:hint="eastAsia"/>
          <w:kern w:val="0"/>
          <w:sz w:val="24"/>
        </w:rPr>
        <w:t>生命周期各阶段描述</w:t>
      </w:r>
    </w:p>
    <w:p w14:paraId="38F424B2" w14:textId="77777777" w:rsidR="00325B6C" w:rsidRDefault="00325B6C" w:rsidP="00325B6C">
      <w:pPr>
        <w:autoSpaceDE w:val="0"/>
        <w:autoSpaceDN w:val="0"/>
        <w:adjustRightInd w:val="0"/>
        <w:snapToGrid w:val="0"/>
        <w:spacing w:line="360" w:lineRule="auto"/>
        <w:ind w:firstLineChars="200" w:firstLine="480"/>
        <w:jc w:val="left"/>
        <w:rPr>
          <w:kern w:val="0"/>
          <w:sz w:val="24"/>
        </w:rPr>
      </w:pPr>
      <w:r>
        <w:rPr>
          <w:rFonts w:hint="eastAsia"/>
          <w:kern w:val="0"/>
          <w:sz w:val="24"/>
        </w:rPr>
        <w:t>根据</w:t>
      </w:r>
      <w:r w:rsidRPr="00F50DD6">
        <w:rPr>
          <w:rFonts w:hint="eastAsia"/>
          <w:kern w:val="0"/>
          <w:sz w:val="24"/>
        </w:rPr>
        <w:t>食品接触用金属容器（含盖）</w:t>
      </w:r>
      <w:r>
        <w:rPr>
          <w:rFonts w:hint="eastAsia"/>
          <w:kern w:val="0"/>
          <w:sz w:val="24"/>
        </w:rPr>
        <w:t>生产特征，详细描述其原材料获取阶段及产品生产阶段涉及的加工、储运、废弃物处置等过程。其中，</w:t>
      </w:r>
      <w:r w:rsidRPr="005C77C0">
        <w:rPr>
          <w:rFonts w:hint="eastAsia"/>
          <w:kern w:val="0"/>
          <w:sz w:val="24"/>
        </w:rPr>
        <w:t>原材料获取阶段</w:t>
      </w:r>
      <w:r w:rsidRPr="00F50DD6">
        <w:rPr>
          <w:rFonts w:hint="eastAsia"/>
          <w:kern w:val="0"/>
          <w:sz w:val="24"/>
        </w:rPr>
        <w:t>从原辅料所需资源开采及加工开始</w:t>
      </w:r>
      <w:r>
        <w:rPr>
          <w:rFonts w:hint="eastAsia"/>
          <w:kern w:val="0"/>
          <w:sz w:val="24"/>
        </w:rPr>
        <w:t>、</w:t>
      </w:r>
      <w:r w:rsidRPr="00F50DD6">
        <w:rPr>
          <w:rFonts w:hint="eastAsia"/>
          <w:kern w:val="0"/>
          <w:sz w:val="24"/>
        </w:rPr>
        <w:t>到原辅料进厂为止</w:t>
      </w:r>
      <w:r>
        <w:rPr>
          <w:rFonts w:hint="eastAsia"/>
          <w:kern w:val="0"/>
          <w:sz w:val="24"/>
        </w:rPr>
        <w:t>，单个金属容器或盖子的</w:t>
      </w:r>
      <w:r w:rsidRPr="005C77C0">
        <w:rPr>
          <w:rFonts w:hint="eastAsia"/>
          <w:kern w:val="0"/>
          <w:sz w:val="24"/>
        </w:rPr>
        <w:t>生产阶段从</w:t>
      </w:r>
      <w:r w:rsidRPr="00F50DD6">
        <w:rPr>
          <w:rFonts w:hint="eastAsia"/>
          <w:kern w:val="0"/>
          <w:sz w:val="24"/>
        </w:rPr>
        <w:t>原辅料进厂开始</w:t>
      </w:r>
      <w:r>
        <w:rPr>
          <w:rFonts w:hint="eastAsia"/>
          <w:kern w:val="0"/>
          <w:sz w:val="24"/>
        </w:rPr>
        <w:t>、</w:t>
      </w:r>
      <w:r w:rsidRPr="00F50DD6">
        <w:rPr>
          <w:rFonts w:hint="eastAsia"/>
          <w:kern w:val="0"/>
          <w:sz w:val="24"/>
        </w:rPr>
        <w:t>到金属容器出厂为止</w:t>
      </w:r>
      <w:r>
        <w:rPr>
          <w:rFonts w:hint="eastAsia"/>
          <w:kern w:val="0"/>
          <w:sz w:val="24"/>
        </w:rPr>
        <w:t>，</w:t>
      </w:r>
      <w:r w:rsidRPr="00F50DD6">
        <w:rPr>
          <w:rFonts w:hint="eastAsia"/>
          <w:kern w:val="0"/>
          <w:sz w:val="24"/>
        </w:rPr>
        <w:t>金属容器组合加工从罐（瓶）身和罐（瓶）盖等进厂开始</w:t>
      </w:r>
      <w:r>
        <w:rPr>
          <w:rFonts w:hint="eastAsia"/>
          <w:kern w:val="0"/>
          <w:sz w:val="24"/>
        </w:rPr>
        <w:t>、</w:t>
      </w:r>
      <w:r w:rsidRPr="00F50DD6">
        <w:rPr>
          <w:rFonts w:hint="eastAsia"/>
          <w:kern w:val="0"/>
          <w:sz w:val="24"/>
        </w:rPr>
        <w:t>到金属容器出厂为止</w:t>
      </w:r>
      <w:r>
        <w:rPr>
          <w:rFonts w:hint="eastAsia"/>
          <w:kern w:val="0"/>
          <w:sz w:val="24"/>
        </w:rPr>
        <w:t>。</w:t>
      </w:r>
    </w:p>
    <w:p w14:paraId="69D9B7A4" w14:textId="19388537" w:rsidR="00325B6C" w:rsidRPr="00325B6C" w:rsidRDefault="00325B6C" w:rsidP="00363FA8">
      <w:pPr>
        <w:autoSpaceDE w:val="0"/>
        <w:autoSpaceDN w:val="0"/>
        <w:adjustRightInd w:val="0"/>
        <w:snapToGrid w:val="0"/>
        <w:spacing w:line="360" w:lineRule="auto"/>
        <w:ind w:firstLineChars="200" w:firstLine="480"/>
        <w:jc w:val="left"/>
        <w:rPr>
          <w:kern w:val="0"/>
          <w:sz w:val="24"/>
        </w:rPr>
      </w:pPr>
      <w:r>
        <w:rPr>
          <w:rFonts w:hint="eastAsia"/>
          <w:kern w:val="0"/>
          <w:sz w:val="24"/>
        </w:rPr>
        <w:t>需要注意的是，</w:t>
      </w:r>
      <w:r w:rsidRPr="00F50DD6">
        <w:rPr>
          <w:rFonts w:hint="eastAsia"/>
          <w:kern w:val="0"/>
          <w:sz w:val="24"/>
        </w:rPr>
        <w:t>若废弃物中涉及可回收材料，将与可回收材料相关的收集处置过程及再生过程进行细分，其中收集处置过程属于当前产品生命周期</w:t>
      </w:r>
      <w:r>
        <w:rPr>
          <w:rFonts w:hint="eastAsia"/>
          <w:kern w:val="0"/>
          <w:sz w:val="24"/>
        </w:rPr>
        <w:t>。</w:t>
      </w:r>
    </w:p>
    <w:p w14:paraId="1F87BF63" w14:textId="06EA82C3" w:rsidR="00DD3329" w:rsidRPr="00F2574B" w:rsidRDefault="00DD3329" w:rsidP="00DD3329">
      <w:pPr>
        <w:autoSpaceDE w:val="0"/>
        <w:autoSpaceDN w:val="0"/>
        <w:adjustRightInd w:val="0"/>
        <w:snapToGrid w:val="0"/>
        <w:spacing w:line="360" w:lineRule="auto"/>
        <w:ind w:left="480"/>
        <w:rPr>
          <w:rFonts w:ascii="Calibri" w:hAnsi="Calibri"/>
          <w:kern w:val="0"/>
          <w:sz w:val="24"/>
          <w:szCs w:val="22"/>
        </w:rPr>
      </w:pPr>
      <w:r>
        <w:rPr>
          <w:rFonts w:ascii="Calibri" w:hAnsi="Calibri" w:hint="eastAsia"/>
          <w:kern w:val="0"/>
          <w:sz w:val="24"/>
          <w:szCs w:val="22"/>
        </w:rPr>
        <w:t>（</w:t>
      </w:r>
      <w:r w:rsidR="00325B6C">
        <w:rPr>
          <w:rFonts w:ascii="Calibri" w:hAnsi="Calibri" w:hint="eastAsia"/>
          <w:kern w:val="0"/>
          <w:sz w:val="24"/>
          <w:szCs w:val="22"/>
        </w:rPr>
        <w:t>3</w:t>
      </w:r>
      <w:r>
        <w:rPr>
          <w:rFonts w:ascii="Calibri" w:hAnsi="Calibri" w:hint="eastAsia"/>
          <w:kern w:val="0"/>
          <w:sz w:val="24"/>
          <w:szCs w:val="22"/>
        </w:rPr>
        <w:t>）</w:t>
      </w:r>
      <w:r w:rsidRPr="00F2574B">
        <w:rPr>
          <w:rFonts w:ascii="Calibri" w:hAnsi="Calibri" w:hint="eastAsia"/>
          <w:kern w:val="0"/>
          <w:sz w:val="24"/>
          <w:szCs w:val="22"/>
        </w:rPr>
        <w:t>取舍准则</w:t>
      </w:r>
    </w:p>
    <w:p w14:paraId="4B441F1C" w14:textId="5FB22700" w:rsidR="00801100" w:rsidRDefault="009B0DF3" w:rsidP="00202DC4">
      <w:pPr>
        <w:autoSpaceDE w:val="0"/>
        <w:autoSpaceDN w:val="0"/>
        <w:adjustRightInd w:val="0"/>
        <w:snapToGrid w:val="0"/>
        <w:spacing w:line="360" w:lineRule="auto"/>
        <w:ind w:firstLineChars="200" w:firstLine="480"/>
        <w:jc w:val="left"/>
        <w:rPr>
          <w:kern w:val="0"/>
          <w:sz w:val="24"/>
        </w:rPr>
      </w:pPr>
      <w:r>
        <w:rPr>
          <w:rFonts w:hint="eastAsia"/>
          <w:kern w:val="0"/>
          <w:sz w:val="24"/>
        </w:rPr>
        <w:t>当个别物质流或能量流对某一单元过程的碳足迹无显著贡献时，可将其作为数据排除项排除并应进行报告。依据国家标准《温室气体</w:t>
      </w:r>
      <w:r>
        <w:rPr>
          <w:rFonts w:hint="eastAsia"/>
          <w:kern w:val="0"/>
          <w:sz w:val="24"/>
        </w:rPr>
        <w:t xml:space="preserve"> </w:t>
      </w:r>
      <w:r>
        <w:rPr>
          <w:rFonts w:hint="eastAsia"/>
          <w:kern w:val="0"/>
          <w:sz w:val="24"/>
        </w:rPr>
        <w:t>产品碳足迹</w:t>
      </w:r>
      <w:r>
        <w:rPr>
          <w:rFonts w:hint="eastAsia"/>
          <w:kern w:val="0"/>
          <w:sz w:val="24"/>
        </w:rPr>
        <w:t xml:space="preserve"> </w:t>
      </w:r>
      <w:r>
        <w:rPr>
          <w:rFonts w:hint="eastAsia"/>
          <w:kern w:val="0"/>
          <w:sz w:val="24"/>
        </w:rPr>
        <w:t>量化要求和指南》（</w:t>
      </w:r>
      <w:r>
        <w:rPr>
          <w:rFonts w:hint="eastAsia"/>
          <w:kern w:val="0"/>
          <w:sz w:val="24"/>
        </w:rPr>
        <w:t>GB/T 24067-2024</w:t>
      </w:r>
      <w:r>
        <w:rPr>
          <w:rFonts w:hint="eastAsia"/>
          <w:kern w:val="0"/>
          <w:sz w:val="24"/>
        </w:rPr>
        <w:t>）的规定，在产品碳足迹量化过程中，可舍弃产品碳足迹影响小于</w:t>
      </w:r>
      <w:r>
        <w:rPr>
          <w:rFonts w:hint="eastAsia"/>
          <w:kern w:val="0"/>
          <w:sz w:val="24"/>
        </w:rPr>
        <w:t>1%</w:t>
      </w:r>
      <w:r>
        <w:rPr>
          <w:rFonts w:hint="eastAsia"/>
          <w:kern w:val="0"/>
          <w:sz w:val="24"/>
        </w:rPr>
        <w:t>的环节，但舍弃环节总的影响不应超过产品碳足迹总量的</w:t>
      </w:r>
      <w:r>
        <w:rPr>
          <w:rFonts w:hint="eastAsia"/>
          <w:kern w:val="0"/>
          <w:sz w:val="24"/>
        </w:rPr>
        <w:t>5%</w:t>
      </w:r>
      <w:r>
        <w:rPr>
          <w:rFonts w:hint="eastAsia"/>
          <w:kern w:val="0"/>
          <w:sz w:val="24"/>
        </w:rPr>
        <w:t>。</w:t>
      </w:r>
    </w:p>
    <w:p w14:paraId="76F7F3D8" w14:textId="77777777" w:rsidR="00923EE8" w:rsidRDefault="008C5AEC" w:rsidP="00202DC4">
      <w:pPr>
        <w:autoSpaceDE w:val="0"/>
        <w:autoSpaceDN w:val="0"/>
        <w:adjustRightInd w:val="0"/>
        <w:snapToGrid w:val="0"/>
        <w:spacing w:line="360" w:lineRule="auto"/>
        <w:ind w:firstLineChars="200" w:firstLine="480"/>
        <w:jc w:val="left"/>
        <w:rPr>
          <w:kern w:val="0"/>
          <w:sz w:val="24"/>
        </w:rPr>
      </w:pPr>
      <w:r>
        <w:rPr>
          <w:rFonts w:hint="eastAsia"/>
          <w:kern w:val="0"/>
          <w:sz w:val="24"/>
        </w:rPr>
        <w:t>通过</w:t>
      </w:r>
      <w:r w:rsidR="001B1C3E">
        <w:rPr>
          <w:rFonts w:hint="eastAsia"/>
          <w:kern w:val="0"/>
          <w:sz w:val="24"/>
        </w:rPr>
        <w:t>对行业现状进行走访调研，</w:t>
      </w:r>
      <w:r w:rsidR="00923EE8">
        <w:rPr>
          <w:rFonts w:hint="eastAsia"/>
          <w:kern w:val="0"/>
          <w:sz w:val="24"/>
        </w:rPr>
        <w:t>将取舍准则确定如下：</w:t>
      </w:r>
    </w:p>
    <w:p w14:paraId="597E0005" w14:textId="77777777" w:rsidR="00923EE8" w:rsidRPr="00923EE8" w:rsidRDefault="00923EE8" w:rsidP="00202DC4">
      <w:pPr>
        <w:autoSpaceDE w:val="0"/>
        <w:autoSpaceDN w:val="0"/>
        <w:adjustRightInd w:val="0"/>
        <w:snapToGrid w:val="0"/>
        <w:spacing w:line="360" w:lineRule="auto"/>
        <w:ind w:firstLineChars="200" w:firstLine="480"/>
        <w:jc w:val="left"/>
        <w:rPr>
          <w:kern w:val="0"/>
          <w:sz w:val="24"/>
        </w:rPr>
      </w:pPr>
      <w:r w:rsidRPr="00923EE8">
        <w:rPr>
          <w:rFonts w:hint="eastAsia"/>
          <w:kern w:val="0"/>
          <w:sz w:val="24"/>
        </w:rPr>
        <w:t>a)</w:t>
      </w:r>
      <w:r w:rsidRPr="00923EE8">
        <w:rPr>
          <w:rFonts w:hint="eastAsia"/>
          <w:kern w:val="0"/>
          <w:sz w:val="24"/>
        </w:rPr>
        <w:tab/>
      </w:r>
      <w:r w:rsidRPr="00923EE8">
        <w:rPr>
          <w:rFonts w:hint="eastAsia"/>
          <w:kern w:val="0"/>
          <w:sz w:val="24"/>
        </w:rPr>
        <w:t>原辅料质量小于产品质量</w:t>
      </w:r>
      <w:r w:rsidRPr="00923EE8">
        <w:rPr>
          <w:rFonts w:hint="eastAsia"/>
          <w:kern w:val="0"/>
          <w:sz w:val="24"/>
        </w:rPr>
        <w:t>1%</w:t>
      </w:r>
      <w:r w:rsidRPr="00923EE8">
        <w:rPr>
          <w:rFonts w:hint="eastAsia"/>
          <w:kern w:val="0"/>
          <w:sz w:val="24"/>
        </w:rPr>
        <w:t>的消耗可忽略，但总忽略的重量不应超过产品重量的</w:t>
      </w:r>
      <w:r w:rsidRPr="00923EE8">
        <w:rPr>
          <w:rFonts w:hint="eastAsia"/>
          <w:kern w:val="0"/>
          <w:sz w:val="24"/>
        </w:rPr>
        <w:t>5%</w:t>
      </w:r>
      <w:r w:rsidRPr="00923EE8">
        <w:rPr>
          <w:rFonts w:hint="eastAsia"/>
          <w:kern w:val="0"/>
          <w:sz w:val="24"/>
        </w:rPr>
        <w:t>；</w:t>
      </w:r>
    </w:p>
    <w:p w14:paraId="51D3B47B" w14:textId="77777777" w:rsidR="00923EE8" w:rsidRPr="00923EE8" w:rsidRDefault="00923EE8" w:rsidP="00202DC4">
      <w:pPr>
        <w:autoSpaceDE w:val="0"/>
        <w:autoSpaceDN w:val="0"/>
        <w:adjustRightInd w:val="0"/>
        <w:snapToGrid w:val="0"/>
        <w:spacing w:line="360" w:lineRule="auto"/>
        <w:ind w:firstLineChars="200" w:firstLine="480"/>
        <w:jc w:val="left"/>
        <w:rPr>
          <w:kern w:val="0"/>
          <w:sz w:val="24"/>
        </w:rPr>
      </w:pPr>
      <w:r w:rsidRPr="00923EE8">
        <w:rPr>
          <w:rFonts w:hint="eastAsia"/>
          <w:kern w:val="0"/>
          <w:sz w:val="24"/>
        </w:rPr>
        <w:t>b)</w:t>
      </w:r>
      <w:r w:rsidRPr="00923EE8">
        <w:rPr>
          <w:rFonts w:hint="eastAsia"/>
          <w:kern w:val="0"/>
          <w:sz w:val="24"/>
        </w:rPr>
        <w:tab/>
      </w:r>
      <w:r w:rsidRPr="00923EE8">
        <w:rPr>
          <w:rFonts w:hint="eastAsia"/>
          <w:kern w:val="0"/>
          <w:sz w:val="24"/>
        </w:rPr>
        <w:t>小于固体废弃物排放总量</w:t>
      </w:r>
      <w:r w:rsidRPr="00923EE8">
        <w:rPr>
          <w:rFonts w:hint="eastAsia"/>
          <w:kern w:val="0"/>
          <w:sz w:val="24"/>
        </w:rPr>
        <w:t>1%</w:t>
      </w:r>
      <w:r w:rsidRPr="00923EE8">
        <w:rPr>
          <w:rFonts w:hint="eastAsia"/>
          <w:kern w:val="0"/>
          <w:sz w:val="24"/>
        </w:rPr>
        <w:t>的一般性固体废弃物可忽略；</w:t>
      </w:r>
    </w:p>
    <w:p w14:paraId="41BFA568" w14:textId="77777777" w:rsidR="00923EE8" w:rsidRPr="00923EE8" w:rsidRDefault="00923EE8" w:rsidP="00202DC4">
      <w:pPr>
        <w:autoSpaceDE w:val="0"/>
        <w:autoSpaceDN w:val="0"/>
        <w:adjustRightInd w:val="0"/>
        <w:snapToGrid w:val="0"/>
        <w:spacing w:line="360" w:lineRule="auto"/>
        <w:ind w:firstLineChars="200" w:firstLine="480"/>
        <w:jc w:val="left"/>
        <w:rPr>
          <w:kern w:val="0"/>
          <w:sz w:val="24"/>
        </w:rPr>
      </w:pPr>
      <w:r w:rsidRPr="00923EE8">
        <w:rPr>
          <w:rFonts w:hint="eastAsia"/>
          <w:kern w:val="0"/>
          <w:sz w:val="24"/>
        </w:rPr>
        <w:t>c)</w:t>
      </w:r>
      <w:r w:rsidRPr="00923EE8">
        <w:rPr>
          <w:rFonts w:hint="eastAsia"/>
          <w:kern w:val="0"/>
          <w:sz w:val="24"/>
        </w:rPr>
        <w:tab/>
      </w:r>
      <w:r w:rsidRPr="00923EE8">
        <w:rPr>
          <w:rFonts w:hint="eastAsia"/>
          <w:kern w:val="0"/>
          <w:sz w:val="24"/>
        </w:rPr>
        <w:t>道路与厂房的基础设施、厂房内人员及生活设施的消耗和排放可忽略；</w:t>
      </w:r>
    </w:p>
    <w:p w14:paraId="4E604912" w14:textId="49A6A927" w:rsidR="00923EE8" w:rsidRDefault="00923EE8" w:rsidP="00202DC4">
      <w:pPr>
        <w:autoSpaceDE w:val="0"/>
        <w:autoSpaceDN w:val="0"/>
        <w:adjustRightInd w:val="0"/>
        <w:snapToGrid w:val="0"/>
        <w:spacing w:line="360" w:lineRule="auto"/>
        <w:ind w:firstLineChars="200" w:firstLine="480"/>
        <w:jc w:val="left"/>
        <w:rPr>
          <w:kern w:val="0"/>
          <w:sz w:val="24"/>
        </w:rPr>
      </w:pPr>
      <w:r w:rsidRPr="00923EE8">
        <w:rPr>
          <w:rFonts w:hint="eastAsia"/>
          <w:kern w:val="0"/>
          <w:sz w:val="24"/>
        </w:rPr>
        <w:t>d)</w:t>
      </w:r>
      <w:r w:rsidRPr="00923EE8">
        <w:rPr>
          <w:rFonts w:hint="eastAsia"/>
          <w:kern w:val="0"/>
          <w:sz w:val="24"/>
        </w:rPr>
        <w:tab/>
      </w:r>
      <w:r w:rsidRPr="00923EE8">
        <w:rPr>
          <w:rFonts w:hint="eastAsia"/>
          <w:kern w:val="0"/>
          <w:sz w:val="24"/>
        </w:rPr>
        <w:t>取舍原则不适用于有毒有害物质，任何有毒有害的材料和物质均应包含于清单中，不可忽略。</w:t>
      </w:r>
    </w:p>
    <w:p w14:paraId="2827490A" w14:textId="5D019F02" w:rsidR="007F6088" w:rsidRPr="00DD3329" w:rsidRDefault="007F6088" w:rsidP="00DD3329">
      <w:pPr>
        <w:pStyle w:val="2"/>
      </w:pPr>
      <w:r>
        <w:rPr>
          <w:rFonts w:hint="eastAsia"/>
        </w:rPr>
        <w:t>3.6</w:t>
      </w:r>
      <w:r>
        <w:rPr>
          <w:rFonts w:hint="eastAsia"/>
        </w:rPr>
        <w:t>清单分析</w:t>
      </w:r>
    </w:p>
    <w:p w14:paraId="3E94B60F" w14:textId="0F7E20E3" w:rsidR="004C7B9C" w:rsidRDefault="004C7B9C" w:rsidP="004C7B9C">
      <w:pPr>
        <w:spacing w:line="360" w:lineRule="auto"/>
        <w:ind w:firstLineChars="200" w:firstLine="480"/>
        <w:rPr>
          <w:kern w:val="0"/>
          <w:sz w:val="24"/>
        </w:rPr>
      </w:pPr>
      <w:r w:rsidRPr="004C7B9C">
        <w:rPr>
          <w:rFonts w:hint="eastAsia"/>
          <w:kern w:val="0"/>
          <w:sz w:val="24"/>
        </w:rPr>
        <w:t>生命周期清单分析是</w:t>
      </w:r>
      <w:r>
        <w:rPr>
          <w:rFonts w:hint="eastAsia"/>
          <w:kern w:val="0"/>
          <w:sz w:val="24"/>
        </w:rPr>
        <w:t>生命周期评价中对所研究产品系统整个生命周期中输入和输出进行汇编和量化的阶段，</w:t>
      </w:r>
      <w:r w:rsidR="003215D9">
        <w:rPr>
          <w:rFonts w:hint="eastAsia"/>
          <w:kern w:val="0"/>
          <w:sz w:val="24"/>
        </w:rPr>
        <w:t>即收集产品系统中定量或定性的输入输出数据，计算并量化的过程。输入和输出可包括与该系统有关的资源能源使用，向空气、</w:t>
      </w:r>
      <w:r w:rsidR="003215D9">
        <w:rPr>
          <w:rFonts w:hint="eastAsia"/>
          <w:kern w:val="0"/>
          <w:sz w:val="24"/>
        </w:rPr>
        <w:lastRenderedPageBreak/>
        <w:t>水体和土地的排放等。</w:t>
      </w:r>
    </w:p>
    <w:p w14:paraId="10C41831" w14:textId="7E72F9E4" w:rsidR="003215D9" w:rsidRPr="009A689A" w:rsidRDefault="003215D9" w:rsidP="00F50DD6">
      <w:pPr>
        <w:pStyle w:val="3"/>
        <w:ind w:left="420"/>
      </w:pPr>
      <w:r w:rsidRPr="009A689A">
        <w:rPr>
          <w:rFonts w:hint="eastAsia"/>
        </w:rPr>
        <w:t xml:space="preserve">3.6.1 </w:t>
      </w:r>
      <w:r w:rsidRPr="009A689A">
        <w:rPr>
          <w:rFonts w:hint="eastAsia"/>
        </w:rPr>
        <w:t>数据收集规则</w:t>
      </w:r>
    </w:p>
    <w:p w14:paraId="7AF8BB7F" w14:textId="77777777" w:rsidR="00F50DD6" w:rsidRDefault="003215D9" w:rsidP="003215D9">
      <w:pPr>
        <w:spacing w:line="360" w:lineRule="auto"/>
        <w:ind w:firstLineChars="200" w:firstLine="480"/>
        <w:rPr>
          <w:kern w:val="0"/>
          <w:sz w:val="24"/>
        </w:rPr>
      </w:pPr>
      <w:r w:rsidRPr="003215D9">
        <w:rPr>
          <w:rFonts w:hint="eastAsia"/>
          <w:kern w:val="0"/>
          <w:sz w:val="24"/>
        </w:rPr>
        <w:t>按照清单分析的目的和要求，</w:t>
      </w:r>
      <w:r>
        <w:rPr>
          <w:rFonts w:hint="eastAsia"/>
          <w:kern w:val="0"/>
          <w:sz w:val="24"/>
        </w:rPr>
        <w:t>对系统边界内的每一个单元过程收集清单中定性和定量数据，数据包括初级数据和次级数据。</w:t>
      </w:r>
      <w:r w:rsidR="00F50DD6" w:rsidRPr="00E949E0">
        <w:rPr>
          <w:rFonts w:hint="eastAsia"/>
          <w:kern w:val="0"/>
          <w:sz w:val="24"/>
        </w:rPr>
        <w:t>数据收集应优先使用现场数据。无法收集现场数据时，宜使用经第三方评审的非现场数据的初级数据，并注明数据来源。无法获取初级数据时，可以使用次级数据，并注明数据来源。次级数据的来源优先使用最新的国家或行业主管部门公开发布的碳足迹数据库，也可选取生命周期数据库、科技文献和论文公布数据、行业协会报告等</w:t>
      </w:r>
      <w:r w:rsidR="00F50DD6">
        <w:rPr>
          <w:rFonts w:hint="eastAsia"/>
          <w:kern w:val="0"/>
          <w:sz w:val="24"/>
        </w:rPr>
        <w:t>。</w:t>
      </w:r>
    </w:p>
    <w:p w14:paraId="30402017" w14:textId="3C3BFCC0" w:rsidR="00CD781A" w:rsidRDefault="003215D9" w:rsidP="003215D9">
      <w:pPr>
        <w:spacing w:line="360" w:lineRule="auto"/>
        <w:ind w:firstLineChars="200" w:firstLine="480"/>
        <w:rPr>
          <w:kern w:val="0"/>
          <w:sz w:val="24"/>
        </w:rPr>
      </w:pPr>
      <w:r>
        <w:rPr>
          <w:rFonts w:hint="eastAsia"/>
          <w:kern w:val="0"/>
          <w:sz w:val="24"/>
        </w:rPr>
        <w:t>数据清单应按照</w:t>
      </w:r>
      <w:r>
        <w:rPr>
          <w:rFonts w:hint="eastAsia"/>
          <w:kern w:val="0"/>
          <w:sz w:val="24"/>
        </w:rPr>
        <w:t>5.</w:t>
      </w:r>
      <w:r w:rsidR="00325B6C">
        <w:rPr>
          <w:rFonts w:hint="eastAsia"/>
          <w:kern w:val="0"/>
          <w:sz w:val="24"/>
        </w:rPr>
        <w:t>3.2</w:t>
      </w:r>
      <w:r>
        <w:rPr>
          <w:rFonts w:hint="eastAsia"/>
          <w:kern w:val="0"/>
          <w:sz w:val="24"/>
        </w:rPr>
        <w:t>节中所规定的详细单元过程收集，对数据的获得方式和来源均应予以详细说明。</w:t>
      </w:r>
      <w:r w:rsidR="00F50DD6">
        <w:rPr>
          <w:rFonts w:hint="eastAsia"/>
          <w:kern w:val="0"/>
          <w:sz w:val="24"/>
        </w:rPr>
        <w:t>在数据采集过程中，应对缺失的数据进行合理填补，并说明数据填补依据和方法。</w:t>
      </w:r>
      <w:r w:rsidR="00CD781A">
        <w:rPr>
          <w:rFonts w:hint="eastAsia"/>
          <w:kern w:val="0"/>
          <w:sz w:val="24"/>
        </w:rPr>
        <w:t>本标准附录</w:t>
      </w:r>
      <w:r w:rsidR="00CD781A">
        <w:rPr>
          <w:rFonts w:hint="eastAsia"/>
          <w:kern w:val="0"/>
          <w:sz w:val="24"/>
        </w:rPr>
        <w:t>B</w:t>
      </w:r>
      <w:r w:rsidR="00CD781A">
        <w:rPr>
          <w:rFonts w:hint="eastAsia"/>
          <w:kern w:val="0"/>
          <w:sz w:val="24"/>
        </w:rPr>
        <w:t>以铝质易拉罐为例，</w:t>
      </w:r>
      <w:r w:rsidR="00F22FCD">
        <w:rPr>
          <w:rFonts w:hint="eastAsia"/>
          <w:kern w:val="0"/>
          <w:sz w:val="24"/>
        </w:rPr>
        <w:t>列举出各单元过程的数据收集表，需按照实际情况进行调整。</w:t>
      </w:r>
    </w:p>
    <w:p w14:paraId="01E2B584" w14:textId="1B83A078" w:rsidR="0061361E" w:rsidRDefault="0061361E" w:rsidP="0061361E">
      <w:pPr>
        <w:pStyle w:val="3"/>
        <w:ind w:left="420"/>
      </w:pPr>
      <w:r w:rsidRPr="009A689A">
        <w:rPr>
          <w:rFonts w:hint="eastAsia"/>
        </w:rPr>
        <w:t xml:space="preserve">3.6.2 </w:t>
      </w:r>
      <w:r>
        <w:rPr>
          <w:rFonts w:hint="eastAsia"/>
        </w:rPr>
        <w:t>数据收集</w:t>
      </w:r>
      <w:r w:rsidR="00325B6C">
        <w:rPr>
          <w:rFonts w:hint="eastAsia"/>
        </w:rPr>
        <w:t>内容</w:t>
      </w:r>
    </w:p>
    <w:p w14:paraId="06979D2A" w14:textId="0BEAB547" w:rsidR="0061361E" w:rsidRPr="0061361E" w:rsidRDefault="0061361E" w:rsidP="0061361E">
      <w:pPr>
        <w:spacing w:line="360" w:lineRule="auto"/>
        <w:ind w:firstLineChars="200" w:firstLine="480"/>
        <w:rPr>
          <w:kern w:val="0"/>
          <w:sz w:val="24"/>
        </w:rPr>
      </w:pPr>
      <w:r>
        <w:rPr>
          <w:rFonts w:hint="eastAsia"/>
          <w:kern w:val="0"/>
          <w:sz w:val="24"/>
        </w:rPr>
        <w:t>本部分针对不同</w:t>
      </w:r>
      <w:r w:rsidRPr="00E949E0">
        <w:rPr>
          <w:rFonts w:hint="eastAsia"/>
          <w:kern w:val="0"/>
          <w:sz w:val="24"/>
        </w:rPr>
        <w:t>阶段的数据</w:t>
      </w:r>
      <w:r>
        <w:rPr>
          <w:rFonts w:hint="eastAsia"/>
          <w:kern w:val="0"/>
          <w:sz w:val="24"/>
        </w:rPr>
        <w:t>来源给出了要求与建议。其中必须使用初级数据的环节包括</w:t>
      </w:r>
      <w:r w:rsidRPr="00E949E0">
        <w:rPr>
          <w:rFonts w:hint="eastAsia"/>
          <w:kern w:val="0"/>
          <w:sz w:val="24"/>
        </w:rPr>
        <w:t>各类原辅料运输数据</w:t>
      </w:r>
      <w:r>
        <w:rPr>
          <w:rFonts w:hint="eastAsia"/>
          <w:kern w:val="0"/>
          <w:sz w:val="24"/>
        </w:rPr>
        <w:t>、</w:t>
      </w:r>
      <w:r w:rsidRPr="00E949E0">
        <w:rPr>
          <w:rFonts w:hint="eastAsia"/>
          <w:kern w:val="0"/>
          <w:sz w:val="24"/>
        </w:rPr>
        <w:t>各类能源输送数据</w:t>
      </w:r>
      <w:r>
        <w:rPr>
          <w:rFonts w:hint="eastAsia"/>
          <w:kern w:val="0"/>
          <w:sz w:val="24"/>
        </w:rPr>
        <w:t>以及产品生产阶段的原辅料消耗、能源消耗、废弃物处置等。</w:t>
      </w:r>
    </w:p>
    <w:p w14:paraId="264E0CB7" w14:textId="16C1081D" w:rsidR="000C0E56" w:rsidRPr="009A689A" w:rsidRDefault="000C0E56" w:rsidP="00F50DD6">
      <w:pPr>
        <w:pStyle w:val="3"/>
        <w:ind w:left="420"/>
      </w:pPr>
      <w:r w:rsidRPr="009A689A">
        <w:rPr>
          <w:rFonts w:hint="eastAsia"/>
        </w:rPr>
        <w:t>3.6.</w:t>
      </w:r>
      <w:r w:rsidR="0061361E">
        <w:rPr>
          <w:rFonts w:hint="eastAsia"/>
        </w:rPr>
        <w:t>3</w:t>
      </w:r>
      <w:r w:rsidRPr="009A689A">
        <w:rPr>
          <w:rFonts w:hint="eastAsia"/>
        </w:rPr>
        <w:t xml:space="preserve"> </w:t>
      </w:r>
      <w:r w:rsidRPr="009A689A">
        <w:rPr>
          <w:rFonts w:hint="eastAsia"/>
        </w:rPr>
        <w:t>分配原则</w:t>
      </w:r>
    </w:p>
    <w:p w14:paraId="4B767C85" w14:textId="0F396B7C" w:rsidR="000C0E56" w:rsidRPr="000C0E56" w:rsidRDefault="000C0E56" w:rsidP="000C0E56">
      <w:pPr>
        <w:spacing w:line="360" w:lineRule="auto"/>
        <w:ind w:firstLineChars="200" w:firstLine="480"/>
        <w:rPr>
          <w:kern w:val="0"/>
          <w:sz w:val="24"/>
        </w:rPr>
      </w:pPr>
      <w:r w:rsidRPr="000C0E56">
        <w:rPr>
          <w:rFonts w:hint="eastAsia"/>
          <w:kern w:val="0"/>
          <w:sz w:val="24"/>
        </w:rPr>
        <w:t>依据</w:t>
      </w:r>
      <w:r>
        <w:rPr>
          <w:rFonts w:hint="eastAsia"/>
          <w:kern w:val="0"/>
          <w:sz w:val="24"/>
        </w:rPr>
        <w:t>国家标准</w:t>
      </w:r>
      <w:r w:rsidRPr="000C0E56">
        <w:rPr>
          <w:rFonts w:hint="eastAsia"/>
          <w:kern w:val="0"/>
          <w:sz w:val="24"/>
        </w:rPr>
        <w:t>《温室气体</w:t>
      </w:r>
      <w:r w:rsidRPr="000C0E56">
        <w:rPr>
          <w:rFonts w:hint="eastAsia"/>
          <w:kern w:val="0"/>
          <w:sz w:val="24"/>
        </w:rPr>
        <w:t xml:space="preserve"> </w:t>
      </w:r>
      <w:r w:rsidRPr="000C0E56">
        <w:rPr>
          <w:rFonts w:hint="eastAsia"/>
          <w:kern w:val="0"/>
          <w:sz w:val="24"/>
        </w:rPr>
        <w:t>产品碳足迹</w:t>
      </w:r>
      <w:r w:rsidRPr="000C0E56">
        <w:rPr>
          <w:rFonts w:hint="eastAsia"/>
          <w:kern w:val="0"/>
          <w:sz w:val="24"/>
        </w:rPr>
        <w:t xml:space="preserve"> </w:t>
      </w:r>
      <w:r w:rsidRPr="000C0E56">
        <w:rPr>
          <w:rFonts w:hint="eastAsia"/>
          <w:kern w:val="0"/>
          <w:sz w:val="24"/>
        </w:rPr>
        <w:t>量化要求和指南》（</w:t>
      </w:r>
      <w:r w:rsidRPr="000C0E56">
        <w:rPr>
          <w:rFonts w:hint="eastAsia"/>
          <w:kern w:val="0"/>
          <w:sz w:val="24"/>
        </w:rPr>
        <w:t>GB/T 24067-2024</w:t>
      </w:r>
      <w:r w:rsidRPr="000C0E56">
        <w:rPr>
          <w:rFonts w:hint="eastAsia"/>
          <w:kern w:val="0"/>
          <w:sz w:val="24"/>
        </w:rPr>
        <w:t>）的规定</w:t>
      </w:r>
      <w:r>
        <w:rPr>
          <w:rFonts w:hint="eastAsia"/>
          <w:kern w:val="0"/>
          <w:sz w:val="24"/>
        </w:rPr>
        <w:t>，若存在需要分配的情况，宜先避免分配，将</w:t>
      </w:r>
      <w:r w:rsidRPr="000C0E56">
        <w:rPr>
          <w:rFonts w:hint="eastAsia"/>
          <w:kern w:val="0"/>
          <w:sz w:val="24"/>
        </w:rPr>
        <w:t>拟分配的单元过程划分为两个或多个子过程，或扩展产品系统，使其包括共生产品相关的额外功能。</w:t>
      </w:r>
    </w:p>
    <w:p w14:paraId="491F3BE2" w14:textId="0F976AC2" w:rsidR="000C0E56" w:rsidRDefault="000C0E56" w:rsidP="00A47EC6">
      <w:pPr>
        <w:spacing w:line="360" w:lineRule="auto"/>
        <w:ind w:firstLineChars="200" w:firstLine="480"/>
        <w:rPr>
          <w:kern w:val="0"/>
          <w:sz w:val="24"/>
        </w:rPr>
      </w:pPr>
      <w:r w:rsidRPr="000C0E56">
        <w:rPr>
          <w:rFonts w:hint="eastAsia"/>
          <w:kern w:val="0"/>
          <w:sz w:val="24"/>
        </w:rPr>
        <w:t>若无法避免分配，总排放量应在产品生命周期内进行分配。优先使用能反映产品物理关系的方式进行分配，包括但不限于产品的数量、质量、体积等物理值；当物理关系不能确定或不能用作分配依据时，可使用其经济关系进行分配，如产品产值等，同时应说明引用依据。</w:t>
      </w:r>
    </w:p>
    <w:p w14:paraId="6D5F59FE" w14:textId="77777777" w:rsidR="0061361E" w:rsidRPr="007213FF" w:rsidRDefault="0061361E" w:rsidP="0061361E">
      <w:pPr>
        <w:pStyle w:val="3"/>
        <w:ind w:left="420"/>
      </w:pPr>
      <w:r>
        <w:rPr>
          <w:rFonts w:hint="eastAsia"/>
        </w:rPr>
        <w:t xml:space="preserve">3.6.4 </w:t>
      </w:r>
      <w:r w:rsidRPr="007213FF">
        <w:rPr>
          <w:rFonts w:hint="eastAsia"/>
        </w:rPr>
        <w:t>数据质量要求</w:t>
      </w:r>
    </w:p>
    <w:p w14:paraId="7E0C488D" w14:textId="77777777" w:rsidR="0061361E" w:rsidRPr="00E949E0" w:rsidRDefault="0061361E" w:rsidP="0061361E">
      <w:pPr>
        <w:autoSpaceDE w:val="0"/>
        <w:autoSpaceDN w:val="0"/>
        <w:adjustRightInd w:val="0"/>
        <w:spacing w:line="440" w:lineRule="exact"/>
        <w:ind w:firstLineChars="200" w:firstLine="480"/>
        <w:jc w:val="left"/>
        <w:rPr>
          <w:kern w:val="0"/>
          <w:sz w:val="24"/>
        </w:rPr>
      </w:pPr>
      <w:r>
        <w:rPr>
          <w:rFonts w:hint="eastAsia"/>
          <w:kern w:val="0"/>
          <w:sz w:val="24"/>
        </w:rPr>
        <w:t>数据质量要求是评估可信度的保障，应规定研究中所需数据的总体特征，考虑数据的时间跨度、地域广度、技术覆盖面、准确性、覆盖率、代表性、</w:t>
      </w:r>
      <w:r w:rsidRPr="00E949E0">
        <w:rPr>
          <w:rFonts w:hint="eastAsia"/>
          <w:kern w:val="0"/>
          <w:sz w:val="24"/>
        </w:rPr>
        <w:t>一</w:t>
      </w:r>
      <w:r w:rsidRPr="00E949E0">
        <w:rPr>
          <w:rFonts w:hint="eastAsia"/>
          <w:kern w:val="0"/>
          <w:sz w:val="24"/>
        </w:rPr>
        <w:lastRenderedPageBreak/>
        <w:t>致性及可再现性等</w:t>
      </w:r>
      <w:r>
        <w:rPr>
          <w:rFonts w:hint="eastAsia"/>
          <w:kern w:val="0"/>
          <w:sz w:val="24"/>
        </w:rPr>
        <w:t>，</w:t>
      </w:r>
      <w:r w:rsidRPr="00E949E0">
        <w:rPr>
          <w:rFonts w:hint="eastAsia"/>
          <w:kern w:val="0"/>
          <w:sz w:val="24"/>
        </w:rPr>
        <w:t>数据质量的特征应包括定量和定性两个角度</w:t>
      </w:r>
      <w:r>
        <w:rPr>
          <w:rFonts w:hint="eastAsia"/>
          <w:kern w:val="0"/>
          <w:sz w:val="24"/>
        </w:rPr>
        <w:t>，其</w:t>
      </w:r>
      <w:r w:rsidRPr="00E949E0">
        <w:rPr>
          <w:rFonts w:hint="eastAsia"/>
          <w:kern w:val="0"/>
          <w:sz w:val="24"/>
        </w:rPr>
        <w:t>特性描述应涉及以下方面：</w:t>
      </w:r>
    </w:p>
    <w:p w14:paraId="38483CFD" w14:textId="77777777" w:rsidR="0061361E" w:rsidRPr="00E949E0" w:rsidRDefault="0061361E" w:rsidP="0061361E">
      <w:pPr>
        <w:pStyle w:val="a0"/>
        <w:numPr>
          <w:ilvl w:val="0"/>
          <w:numId w:val="8"/>
        </w:numPr>
        <w:tabs>
          <w:tab w:val="num" w:pos="851"/>
        </w:tabs>
        <w:spacing w:line="440" w:lineRule="exact"/>
        <w:rPr>
          <w:sz w:val="24"/>
          <w:szCs w:val="24"/>
        </w:rPr>
      </w:pPr>
      <w:r w:rsidRPr="00E949E0">
        <w:rPr>
          <w:rFonts w:hint="eastAsia"/>
          <w:sz w:val="24"/>
          <w:szCs w:val="24"/>
        </w:rPr>
        <w:t>时间覆盖范围：数据的年份和所收集数据的最小时间长度；</w:t>
      </w:r>
    </w:p>
    <w:p w14:paraId="465881D0" w14:textId="77777777" w:rsidR="0061361E" w:rsidRPr="00E949E0" w:rsidRDefault="0061361E" w:rsidP="0061361E">
      <w:pPr>
        <w:pStyle w:val="a0"/>
        <w:numPr>
          <w:ilvl w:val="0"/>
          <w:numId w:val="7"/>
        </w:numPr>
        <w:tabs>
          <w:tab w:val="num" w:pos="851"/>
        </w:tabs>
        <w:spacing w:line="440" w:lineRule="exact"/>
        <w:rPr>
          <w:sz w:val="24"/>
          <w:szCs w:val="24"/>
        </w:rPr>
      </w:pPr>
      <w:r w:rsidRPr="00E949E0">
        <w:rPr>
          <w:rFonts w:hint="eastAsia"/>
          <w:sz w:val="24"/>
          <w:szCs w:val="24"/>
        </w:rPr>
        <w:t>地理覆盖范围：为实现产品碳足迹研究目的所收集的单元过程数据的地理位置；</w:t>
      </w:r>
    </w:p>
    <w:p w14:paraId="4C78E27A" w14:textId="77777777" w:rsidR="0061361E" w:rsidRPr="00E949E0" w:rsidRDefault="0061361E" w:rsidP="0061361E">
      <w:pPr>
        <w:pStyle w:val="a0"/>
        <w:numPr>
          <w:ilvl w:val="0"/>
          <w:numId w:val="7"/>
        </w:numPr>
        <w:tabs>
          <w:tab w:val="num" w:pos="851"/>
        </w:tabs>
        <w:spacing w:line="440" w:lineRule="exact"/>
        <w:rPr>
          <w:sz w:val="24"/>
          <w:szCs w:val="24"/>
        </w:rPr>
      </w:pPr>
      <w:r w:rsidRPr="00E949E0">
        <w:rPr>
          <w:rFonts w:hint="eastAsia"/>
          <w:sz w:val="24"/>
          <w:szCs w:val="24"/>
        </w:rPr>
        <w:t>技术覆盖范围：具体的技术或技术组合；</w:t>
      </w:r>
    </w:p>
    <w:p w14:paraId="54953AF6" w14:textId="77777777" w:rsidR="0061361E" w:rsidRPr="00E949E0" w:rsidRDefault="0061361E" w:rsidP="0061361E">
      <w:pPr>
        <w:pStyle w:val="a0"/>
        <w:numPr>
          <w:ilvl w:val="0"/>
          <w:numId w:val="7"/>
        </w:numPr>
        <w:tabs>
          <w:tab w:val="num" w:pos="851"/>
        </w:tabs>
        <w:spacing w:line="440" w:lineRule="exact"/>
        <w:rPr>
          <w:sz w:val="24"/>
          <w:szCs w:val="24"/>
        </w:rPr>
      </w:pPr>
      <w:r w:rsidRPr="00E949E0">
        <w:rPr>
          <w:rFonts w:hint="eastAsia"/>
          <w:sz w:val="24"/>
          <w:szCs w:val="24"/>
        </w:rPr>
        <w:t>精度：对每个数据值的可变性的度量（例如方差）；</w:t>
      </w:r>
    </w:p>
    <w:p w14:paraId="7C03C4A2" w14:textId="77777777" w:rsidR="0061361E" w:rsidRPr="00E949E0" w:rsidRDefault="0061361E" w:rsidP="0061361E">
      <w:pPr>
        <w:pStyle w:val="a0"/>
        <w:numPr>
          <w:ilvl w:val="0"/>
          <w:numId w:val="7"/>
        </w:numPr>
        <w:tabs>
          <w:tab w:val="num" w:pos="851"/>
        </w:tabs>
        <w:spacing w:line="440" w:lineRule="exact"/>
        <w:rPr>
          <w:sz w:val="24"/>
          <w:szCs w:val="24"/>
        </w:rPr>
      </w:pPr>
      <w:r w:rsidRPr="00E949E0">
        <w:rPr>
          <w:rFonts w:hint="eastAsia"/>
          <w:sz w:val="24"/>
          <w:szCs w:val="24"/>
        </w:rPr>
        <w:t>完整性：测量或测算的流所占的比例；</w:t>
      </w:r>
    </w:p>
    <w:p w14:paraId="379B6FD1" w14:textId="77777777" w:rsidR="0061361E" w:rsidRPr="00E949E0" w:rsidRDefault="0061361E" w:rsidP="0061361E">
      <w:pPr>
        <w:pStyle w:val="a0"/>
        <w:numPr>
          <w:ilvl w:val="0"/>
          <w:numId w:val="7"/>
        </w:numPr>
        <w:tabs>
          <w:tab w:val="num" w:pos="851"/>
        </w:tabs>
        <w:spacing w:line="440" w:lineRule="exact"/>
        <w:rPr>
          <w:sz w:val="24"/>
          <w:szCs w:val="24"/>
        </w:rPr>
      </w:pPr>
      <w:r w:rsidRPr="00E949E0">
        <w:rPr>
          <w:rFonts w:hint="eastAsia"/>
          <w:sz w:val="24"/>
          <w:szCs w:val="24"/>
        </w:rPr>
        <w:t>代表性：反映实际关注人群对数据集（即时间覆盖范围、地理覆盖范围和技术覆盖范围等）关注程度的真实情况进行的定性评价；</w:t>
      </w:r>
    </w:p>
    <w:p w14:paraId="611D6D3B" w14:textId="77777777" w:rsidR="0061361E" w:rsidRPr="00E949E0" w:rsidRDefault="0061361E" w:rsidP="0061361E">
      <w:pPr>
        <w:pStyle w:val="a0"/>
        <w:numPr>
          <w:ilvl w:val="0"/>
          <w:numId w:val="7"/>
        </w:numPr>
        <w:tabs>
          <w:tab w:val="num" w:pos="851"/>
        </w:tabs>
        <w:spacing w:line="440" w:lineRule="exact"/>
        <w:rPr>
          <w:sz w:val="24"/>
          <w:szCs w:val="24"/>
        </w:rPr>
      </w:pPr>
      <w:r w:rsidRPr="00E949E0">
        <w:rPr>
          <w:rFonts w:hint="eastAsia"/>
          <w:sz w:val="24"/>
          <w:szCs w:val="24"/>
        </w:rPr>
        <w:t>一致性：对研究方法学是否能在敏感性分析的不同组成部分中统一应用而进行的定性评价；</w:t>
      </w:r>
    </w:p>
    <w:p w14:paraId="40F45523" w14:textId="77777777" w:rsidR="0061361E" w:rsidRPr="00E949E0" w:rsidRDefault="0061361E" w:rsidP="0061361E">
      <w:pPr>
        <w:pStyle w:val="a0"/>
        <w:numPr>
          <w:ilvl w:val="0"/>
          <w:numId w:val="7"/>
        </w:numPr>
        <w:tabs>
          <w:tab w:val="num" w:pos="851"/>
        </w:tabs>
        <w:spacing w:line="440" w:lineRule="exact"/>
        <w:rPr>
          <w:sz w:val="24"/>
          <w:szCs w:val="24"/>
        </w:rPr>
      </w:pPr>
      <w:r w:rsidRPr="00E949E0">
        <w:rPr>
          <w:rFonts w:hint="eastAsia"/>
          <w:sz w:val="24"/>
          <w:szCs w:val="24"/>
        </w:rPr>
        <w:t>再现性：对其他独立从业人员采用同一方法学和数值信息重现相同研究结果的定性评价；</w:t>
      </w:r>
    </w:p>
    <w:p w14:paraId="7872FE59" w14:textId="77777777" w:rsidR="0061361E" w:rsidRPr="00E949E0" w:rsidRDefault="0061361E" w:rsidP="0061361E">
      <w:pPr>
        <w:pStyle w:val="a0"/>
        <w:numPr>
          <w:ilvl w:val="0"/>
          <w:numId w:val="7"/>
        </w:numPr>
        <w:tabs>
          <w:tab w:val="num" w:pos="851"/>
        </w:tabs>
        <w:spacing w:line="440" w:lineRule="exact"/>
        <w:rPr>
          <w:sz w:val="24"/>
          <w:szCs w:val="24"/>
        </w:rPr>
      </w:pPr>
      <w:r w:rsidRPr="00E949E0">
        <w:rPr>
          <w:rFonts w:hint="eastAsia"/>
          <w:sz w:val="24"/>
          <w:szCs w:val="24"/>
        </w:rPr>
        <w:t>数据来源；</w:t>
      </w:r>
    </w:p>
    <w:p w14:paraId="6E9485FA" w14:textId="77777777" w:rsidR="0061361E" w:rsidRPr="00E949E0" w:rsidRDefault="0061361E" w:rsidP="0061361E">
      <w:pPr>
        <w:pStyle w:val="a0"/>
        <w:numPr>
          <w:ilvl w:val="0"/>
          <w:numId w:val="7"/>
        </w:numPr>
        <w:tabs>
          <w:tab w:val="num" w:pos="851"/>
        </w:tabs>
        <w:spacing w:line="440" w:lineRule="exact"/>
        <w:rPr>
          <w:sz w:val="24"/>
          <w:szCs w:val="24"/>
        </w:rPr>
      </w:pPr>
      <w:r w:rsidRPr="00E949E0">
        <w:rPr>
          <w:rFonts w:hint="eastAsia"/>
          <w:sz w:val="24"/>
          <w:szCs w:val="24"/>
        </w:rPr>
        <w:t>信息的不确定性。</w:t>
      </w:r>
    </w:p>
    <w:p w14:paraId="52E4CC84" w14:textId="77777777" w:rsidR="0061361E" w:rsidRPr="007213FF" w:rsidRDefault="0061361E" w:rsidP="0061361E">
      <w:pPr>
        <w:pStyle w:val="3"/>
        <w:ind w:left="420"/>
      </w:pPr>
      <w:r>
        <w:rPr>
          <w:rFonts w:hint="eastAsia"/>
        </w:rPr>
        <w:t xml:space="preserve">3.6.5 </w:t>
      </w:r>
      <w:r w:rsidRPr="007213FF">
        <w:rPr>
          <w:rFonts w:hint="eastAsia"/>
        </w:rPr>
        <w:t>数据审定</w:t>
      </w:r>
    </w:p>
    <w:p w14:paraId="2E86D82B" w14:textId="77777777" w:rsidR="0061361E" w:rsidRPr="00F2574B" w:rsidRDefault="0061361E" w:rsidP="0061361E">
      <w:pPr>
        <w:autoSpaceDE w:val="0"/>
        <w:autoSpaceDN w:val="0"/>
        <w:adjustRightInd w:val="0"/>
        <w:spacing w:line="360" w:lineRule="auto"/>
        <w:ind w:firstLineChars="200" w:firstLine="480"/>
        <w:jc w:val="left"/>
        <w:rPr>
          <w:kern w:val="0"/>
          <w:sz w:val="24"/>
        </w:rPr>
      </w:pPr>
      <w:r>
        <w:rPr>
          <w:rFonts w:hint="eastAsia"/>
          <w:kern w:val="0"/>
          <w:sz w:val="24"/>
        </w:rPr>
        <w:t>应验证收集数据的完整性、准确性、匹配程度，通过物料平衡、能量平衡、检查表自检、与历史数据或相近工艺数据对比等方式，确认数据质量。对于异常数据，在取舍准则范围内的，应在报告中予以详细描述；若不符合质量要求，应通过进一步企业调研、资料收集等方法不断迭代不符合要求数据，最终使数据质量满足上述要求。</w:t>
      </w:r>
    </w:p>
    <w:p w14:paraId="52C9E04C" w14:textId="36C83395" w:rsidR="000C0E56" w:rsidRDefault="000C0E56" w:rsidP="000C0E56">
      <w:pPr>
        <w:pStyle w:val="2"/>
      </w:pPr>
      <w:r>
        <w:rPr>
          <w:rFonts w:hint="eastAsia"/>
        </w:rPr>
        <w:t xml:space="preserve">3.7 </w:t>
      </w:r>
      <w:r>
        <w:rPr>
          <w:rFonts w:hint="eastAsia"/>
        </w:rPr>
        <w:t>影响评价</w:t>
      </w:r>
    </w:p>
    <w:p w14:paraId="57D2F3D8" w14:textId="64912769" w:rsidR="0061361E" w:rsidRPr="0061361E" w:rsidRDefault="0061361E" w:rsidP="0061361E">
      <w:pPr>
        <w:pStyle w:val="3"/>
        <w:ind w:left="420"/>
      </w:pPr>
      <w:r>
        <w:rPr>
          <w:rFonts w:hint="eastAsia"/>
        </w:rPr>
        <w:t xml:space="preserve">3.7.1 </w:t>
      </w:r>
      <w:r w:rsidRPr="00881878">
        <w:rPr>
          <w:rFonts w:hint="eastAsia"/>
        </w:rPr>
        <w:t>产品碳足迹计算方法</w:t>
      </w:r>
    </w:p>
    <w:p w14:paraId="0D1CA42B" w14:textId="0F87624E" w:rsidR="000C0E56" w:rsidRDefault="000C0E56" w:rsidP="000C0E56">
      <w:pPr>
        <w:spacing w:line="360" w:lineRule="auto"/>
        <w:ind w:firstLineChars="200" w:firstLine="480"/>
        <w:rPr>
          <w:kern w:val="0"/>
          <w:sz w:val="24"/>
        </w:rPr>
      </w:pPr>
      <w:r w:rsidRPr="000C0E56">
        <w:rPr>
          <w:rFonts w:hint="eastAsia"/>
          <w:kern w:val="0"/>
          <w:sz w:val="24"/>
        </w:rPr>
        <w:t>影响评价作为</w:t>
      </w:r>
      <w:r>
        <w:rPr>
          <w:rFonts w:hint="eastAsia"/>
          <w:kern w:val="0"/>
          <w:sz w:val="24"/>
        </w:rPr>
        <w:t>生命周期评价的第三阶段，其目的是评估产品系统的生命周期清单结果，将生命周期清单分析结果转化为潜在环境影响，可用于识别产品系统的重要排放来源，</w:t>
      </w:r>
      <w:r w:rsidR="00C638F0">
        <w:rPr>
          <w:rFonts w:hint="eastAsia"/>
          <w:kern w:val="0"/>
          <w:sz w:val="24"/>
        </w:rPr>
        <w:t>描述产品系统与其单元过程在某一时间段内的特征，依据所选定的类型参数进行产品系统间的相关比较等。</w:t>
      </w:r>
    </w:p>
    <w:p w14:paraId="706DE651" w14:textId="4649D20F" w:rsidR="002D34E6" w:rsidRDefault="00A93A57" w:rsidP="002D34E6">
      <w:pPr>
        <w:spacing w:line="360" w:lineRule="auto"/>
        <w:ind w:firstLineChars="200" w:firstLine="480"/>
        <w:rPr>
          <w:kern w:val="0"/>
          <w:sz w:val="24"/>
        </w:rPr>
      </w:pPr>
      <w:r>
        <w:rPr>
          <w:rFonts w:hint="eastAsia"/>
          <w:kern w:val="0"/>
          <w:sz w:val="24"/>
        </w:rPr>
        <w:t>整体的</w:t>
      </w:r>
      <w:r w:rsidR="002D34E6">
        <w:rPr>
          <w:rFonts w:hint="eastAsia"/>
          <w:kern w:val="0"/>
          <w:sz w:val="24"/>
        </w:rPr>
        <w:t>碳足迹</w:t>
      </w:r>
      <w:r>
        <w:rPr>
          <w:rFonts w:hint="eastAsia"/>
          <w:kern w:val="0"/>
          <w:sz w:val="24"/>
        </w:rPr>
        <w:t>计算原则为</w:t>
      </w:r>
      <w:r w:rsidR="00C638F0">
        <w:rPr>
          <w:rFonts w:hint="eastAsia"/>
          <w:kern w:val="0"/>
          <w:sz w:val="24"/>
        </w:rPr>
        <w:t>通过排放或清除的</w:t>
      </w:r>
      <w:r w:rsidR="00C638F0">
        <w:rPr>
          <w:rFonts w:hint="eastAsia"/>
          <w:kern w:val="0"/>
          <w:sz w:val="24"/>
        </w:rPr>
        <w:t>GHG</w:t>
      </w:r>
      <w:r w:rsidR="00C638F0">
        <w:rPr>
          <w:rFonts w:hint="eastAsia"/>
          <w:kern w:val="0"/>
          <w:sz w:val="24"/>
        </w:rPr>
        <w:t>的质量乘以对应的全球变</w:t>
      </w:r>
      <w:r w:rsidR="00C638F0">
        <w:rPr>
          <w:rFonts w:hint="eastAsia"/>
          <w:kern w:val="0"/>
          <w:sz w:val="24"/>
        </w:rPr>
        <w:lastRenderedPageBreak/>
        <w:t>暖潜势指数，来计算产品系统中每种</w:t>
      </w:r>
      <w:r w:rsidR="00C638F0">
        <w:rPr>
          <w:rFonts w:hint="eastAsia"/>
          <w:kern w:val="0"/>
          <w:sz w:val="24"/>
        </w:rPr>
        <w:t>GHG</w:t>
      </w:r>
      <w:r w:rsidR="00C638F0">
        <w:rPr>
          <w:rFonts w:hint="eastAsia"/>
          <w:kern w:val="0"/>
          <w:sz w:val="24"/>
        </w:rPr>
        <w:t>排放和清除的潜在气候变化影响，单位为</w:t>
      </w:r>
      <w:r w:rsidR="00C638F0">
        <w:rPr>
          <w:rFonts w:hint="eastAsia"/>
          <w:kern w:val="0"/>
          <w:sz w:val="24"/>
        </w:rPr>
        <w:t>kgCO</w:t>
      </w:r>
      <w:r w:rsidR="00C638F0">
        <w:rPr>
          <w:rFonts w:hint="eastAsia"/>
          <w:kern w:val="0"/>
          <w:sz w:val="24"/>
          <w:vertAlign w:val="subscript"/>
        </w:rPr>
        <w:t>2</w:t>
      </w:r>
      <w:r w:rsidR="00C638F0">
        <w:rPr>
          <w:rFonts w:hint="eastAsia"/>
          <w:kern w:val="0"/>
          <w:sz w:val="24"/>
        </w:rPr>
        <w:t>e</w:t>
      </w:r>
      <w:r>
        <w:rPr>
          <w:rFonts w:hint="eastAsia"/>
          <w:kern w:val="0"/>
          <w:sz w:val="24"/>
        </w:rPr>
        <w:t>/(</w:t>
      </w:r>
      <w:r w:rsidR="009C6C9D">
        <w:rPr>
          <w:rFonts w:hint="eastAsia"/>
          <w:kern w:val="0"/>
          <w:sz w:val="24"/>
        </w:rPr>
        <w:t>kg</w:t>
      </w:r>
      <w:r w:rsidR="009C6C9D">
        <w:rPr>
          <w:rFonts w:hint="eastAsia"/>
          <w:kern w:val="0"/>
          <w:sz w:val="24"/>
        </w:rPr>
        <w:t>排放量</w:t>
      </w:r>
      <w:r>
        <w:rPr>
          <w:rFonts w:hint="eastAsia"/>
          <w:kern w:val="0"/>
          <w:sz w:val="24"/>
        </w:rPr>
        <w:t>)</w:t>
      </w:r>
      <w:r w:rsidR="00C638F0">
        <w:rPr>
          <w:rFonts w:hint="eastAsia"/>
          <w:kern w:val="0"/>
          <w:sz w:val="24"/>
        </w:rPr>
        <w:t>。</w:t>
      </w:r>
      <w:r>
        <w:rPr>
          <w:rFonts w:hint="eastAsia"/>
          <w:kern w:val="0"/>
          <w:sz w:val="24"/>
        </w:rPr>
        <w:t>排放或清除的</w:t>
      </w:r>
      <w:r>
        <w:rPr>
          <w:rFonts w:hint="eastAsia"/>
          <w:kern w:val="0"/>
          <w:sz w:val="24"/>
        </w:rPr>
        <w:t>GHG</w:t>
      </w:r>
      <w:r>
        <w:rPr>
          <w:rFonts w:hint="eastAsia"/>
          <w:kern w:val="0"/>
          <w:sz w:val="24"/>
        </w:rPr>
        <w:t>总量应为每个单元过程的</w:t>
      </w:r>
      <w:r>
        <w:rPr>
          <w:rFonts w:hint="eastAsia"/>
          <w:kern w:val="0"/>
          <w:sz w:val="24"/>
        </w:rPr>
        <w:t>GHG</w:t>
      </w:r>
      <w:r>
        <w:rPr>
          <w:rFonts w:hint="eastAsia"/>
          <w:kern w:val="0"/>
          <w:sz w:val="24"/>
        </w:rPr>
        <w:t>累加</w:t>
      </w:r>
      <w:bookmarkStart w:id="10" w:name="_Hlk208825497"/>
      <w:r>
        <w:rPr>
          <w:rFonts w:hint="eastAsia"/>
          <w:kern w:val="0"/>
          <w:sz w:val="24"/>
        </w:rPr>
        <w:t>，</w:t>
      </w:r>
      <w:r w:rsidR="002D34E6">
        <w:rPr>
          <w:rFonts w:hint="eastAsia"/>
          <w:kern w:val="0"/>
          <w:sz w:val="24"/>
        </w:rPr>
        <w:t>包含因系统边界内产生可</w:t>
      </w:r>
      <w:r w:rsidR="009A689A">
        <w:rPr>
          <w:rFonts w:hint="eastAsia"/>
          <w:kern w:val="0"/>
          <w:sz w:val="24"/>
        </w:rPr>
        <w:t>回收</w:t>
      </w:r>
      <w:r w:rsidR="002D34E6">
        <w:rPr>
          <w:rFonts w:hint="eastAsia"/>
          <w:kern w:val="0"/>
          <w:sz w:val="24"/>
        </w:rPr>
        <w:t>材料造成的回收碳信用额度抵扣</w:t>
      </w:r>
      <w:bookmarkEnd w:id="10"/>
      <w:r w:rsidR="002D34E6">
        <w:rPr>
          <w:rFonts w:hint="eastAsia"/>
          <w:kern w:val="0"/>
          <w:sz w:val="24"/>
        </w:rPr>
        <w:t>。</w:t>
      </w:r>
    </w:p>
    <w:p w14:paraId="54841405" w14:textId="172CE737" w:rsidR="00927368" w:rsidRDefault="00927368" w:rsidP="00202DC4">
      <w:pPr>
        <w:spacing w:line="360" w:lineRule="auto"/>
        <w:ind w:firstLineChars="200" w:firstLine="480"/>
        <w:rPr>
          <w:kern w:val="0"/>
          <w:sz w:val="24"/>
        </w:rPr>
      </w:pPr>
      <w:bookmarkStart w:id="11" w:name="_Hlk208825509"/>
      <w:proofErr w:type="gramStart"/>
      <w:r>
        <w:rPr>
          <w:rFonts w:hint="eastAsia"/>
          <w:kern w:val="0"/>
          <w:sz w:val="24"/>
        </w:rPr>
        <w:t>待评价</w:t>
      </w:r>
      <w:proofErr w:type="gramEnd"/>
      <w:r>
        <w:rPr>
          <w:rFonts w:hint="eastAsia"/>
          <w:kern w:val="0"/>
          <w:sz w:val="24"/>
        </w:rPr>
        <w:t>产品的</w:t>
      </w:r>
      <w:r>
        <w:rPr>
          <w:rFonts w:hint="eastAsia"/>
          <w:kern w:val="0"/>
          <w:sz w:val="24"/>
        </w:rPr>
        <w:t>GHG</w:t>
      </w:r>
      <w:r>
        <w:rPr>
          <w:rFonts w:hint="eastAsia"/>
          <w:kern w:val="0"/>
          <w:sz w:val="24"/>
        </w:rPr>
        <w:t>排放来源于两部分：一部分是系统边界内发生的</w:t>
      </w:r>
      <w:r>
        <w:rPr>
          <w:rFonts w:hint="eastAsia"/>
          <w:kern w:val="0"/>
          <w:sz w:val="24"/>
        </w:rPr>
        <w:t>GHG</w:t>
      </w:r>
      <w:r>
        <w:rPr>
          <w:rFonts w:hint="eastAsia"/>
          <w:kern w:val="0"/>
          <w:sz w:val="24"/>
        </w:rPr>
        <w:t>直接排放，如化石燃料燃烧、生产过程中反应产生的排放等，这些</w:t>
      </w:r>
      <w:r>
        <w:rPr>
          <w:rFonts w:hint="eastAsia"/>
          <w:kern w:val="0"/>
          <w:sz w:val="24"/>
        </w:rPr>
        <w:t>GHG</w:t>
      </w:r>
      <w:r>
        <w:rPr>
          <w:rFonts w:hint="eastAsia"/>
          <w:kern w:val="0"/>
          <w:sz w:val="24"/>
        </w:rPr>
        <w:t>作为基本流直接排放进入环境中；另一部分是使用的原辅材料、能源在上游过程中产生的排放，或待处置废弃物在</w:t>
      </w:r>
      <w:r w:rsidR="00F5250F">
        <w:rPr>
          <w:rFonts w:hint="eastAsia"/>
          <w:kern w:val="0"/>
          <w:sz w:val="24"/>
        </w:rPr>
        <w:t>外部处置机构</w:t>
      </w:r>
      <w:r>
        <w:rPr>
          <w:rFonts w:hint="eastAsia"/>
          <w:kern w:val="0"/>
          <w:sz w:val="24"/>
        </w:rPr>
        <w:t>处置过程中的排放，即由</w:t>
      </w:r>
      <w:r w:rsidR="00F5250F">
        <w:rPr>
          <w:rFonts w:hint="eastAsia"/>
          <w:kern w:val="0"/>
          <w:sz w:val="24"/>
        </w:rPr>
        <w:t>于</w:t>
      </w:r>
      <w:r>
        <w:rPr>
          <w:rFonts w:hint="eastAsia"/>
          <w:kern w:val="0"/>
          <w:sz w:val="24"/>
        </w:rPr>
        <w:t>原辅材料、能源、废弃物等中间流</w:t>
      </w:r>
      <w:r w:rsidR="00F5250F">
        <w:rPr>
          <w:rFonts w:hint="eastAsia"/>
          <w:kern w:val="0"/>
          <w:sz w:val="24"/>
        </w:rPr>
        <w:t>进入</w:t>
      </w:r>
      <w:r>
        <w:rPr>
          <w:rFonts w:hint="eastAsia"/>
          <w:kern w:val="0"/>
          <w:sz w:val="24"/>
        </w:rPr>
        <w:t>系统边界而带来</w:t>
      </w:r>
      <w:r>
        <w:rPr>
          <w:rFonts w:hint="eastAsia"/>
          <w:kern w:val="0"/>
          <w:sz w:val="24"/>
        </w:rPr>
        <w:t>GHG</w:t>
      </w:r>
      <w:r>
        <w:rPr>
          <w:rFonts w:hint="eastAsia"/>
          <w:kern w:val="0"/>
          <w:sz w:val="24"/>
        </w:rPr>
        <w:t>间接排放。</w:t>
      </w:r>
    </w:p>
    <w:bookmarkEnd w:id="11"/>
    <w:p w14:paraId="46E83D5C" w14:textId="09E65755" w:rsidR="00C638F0" w:rsidRDefault="002D34E6" w:rsidP="00202DC4">
      <w:pPr>
        <w:spacing w:line="360" w:lineRule="auto"/>
        <w:ind w:firstLineChars="200" w:firstLine="480"/>
        <w:rPr>
          <w:kern w:val="0"/>
          <w:sz w:val="24"/>
        </w:rPr>
      </w:pPr>
      <w:r>
        <w:rPr>
          <w:rFonts w:hint="eastAsia"/>
          <w:kern w:val="0"/>
          <w:sz w:val="24"/>
        </w:rPr>
        <w:t>产品碳足迹即为</w:t>
      </w:r>
      <w:r w:rsidR="00927368">
        <w:rPr>
          <w:rFonts w:hint="eastAsia"/>
          <w:kern w:val="0"/>
          <w:sz w:val="24"/>
        </w:rPr>
        <w:t>系统边界内</w:t>
      </w:r>
      <w:r>
        <w:rPr>
          <w:rFonts w:hint="eastAsia"/>
          <w:kern w:val="0"/>
          <w:sz w:val="24"/>
        </w:rPr>
        <w:t>所有</w:t>
      </w:r>
      <w:r>
        <w:rPr>
          <w:rFonts w:hint="eastAsia"/>
          <w:kern w:val="0"/>
          <w:sz w:val="24"/>
        </w:rPr>
        <w:t>GHG</w:t>
      </w:r>
      <w:r>
        <w:rPr>
          <w:rFonts w:hint="eastAsia"/>
          <w:kern w:val="0"/>
          <w:sz w:val="24"/>
        </w:rPr>
        <w:t>潜在气候变化影响的总和，包括</w:t>
      </w:r>
      <w:bookmarkStart w:id="12" w:name="_Hlk208825581"/>
      <w:r w:rsidR="00927368">
        <w:rPr>
          <w:rFonts w:hint="eastAsia"/>
          <w:kern w:val="0"/>
          <w:sz w:val="24"/>
        </w:rPr>
        <w:t>GHG</w:t>
      </w:r>
      <w:r w:rsidR="00927368">
        <w:rPr>
          <w:rFonts w:hint="eastAsia"/>
          <w:kern w:val="0"/>
          <w:sz w:val="24"/>
        </w:rPr>
        <w:t>直接排放和</w:t>
      </w:r>
      <w:r w:rsidR="00927368">
        <w:rPr>
          <w:rFonts w:hint="eastAsia"/>
          <w:kern w:val="0"/>
          <w:sz w:val="24"/>
        </w:rPr>
        <w:t>GHG</w:t>
      </w:r>
      <w:r w:rsidR="00927368">
        <w:rPr>
          <w:rFonts w:hint="eastAsia"/>
          <w:kern w:val="0"/>
          <w:sz w:val="24"/>
        </w:rPr>
        <w:t>间接排放</w:t>
      </w:r>
      <w:r w:rsidR="001B7A1B">
        <w:rPr>
          <w:rFonts w:hint="eastAsia"/>
          <w:kern w:val="0"/>
          <w:sz w:val="24"/>
        </w:rPr>
        <w:t>两部分</w:t>
      </w:r>
      <w:r w:rsidR="00C349BA">
        <w:rPr>
          <w:rFonts w:hint="eastAsia"/>
          <w:kern w:val="0"/>
          <w:sz w:val="24"/>
        </w:rPr>
        <w:t>所引起的影响</w:t>
      </w:r>
      <w:bookmarkEnd w:id="12"/>
      <w:r>
        <w:rPr>
          <w:rFonts w:hint="eastAsia"/>
          <w:kern w:val="0"/>
          <w:sz w:val="24"/>
        </w:rPr>
        <w:t>，</w:t>
      </w:r>
      <w:bookmarkStart w:id="13" w:name="_Hlk208825612"/>
      <w:r>
        <w:rPr>
          <w:rFonts w:hint="eastAsia"/>
          <w:kern w:val="0"/>
          <w:sz w:val="24"/>
        </w:rPr>
        <w:t>其中</w:t>
      </w:r>
      <w:r w:rsidR="00927368">
        <w:rPr>
          <w:rFonts w:hint="eastAsia"/>
          <w:kern w:val="0"/>
          <w:sz w:val="24"/>
        </w:rPr>
        <w:t>直接排放的部分</w:t>
      </w:r>
      <w:r>
        <w:rPr>
          <w:rFonts w:hint="eastAsia"/>
          <w:kern w:val="0"/>
          <w:sz w:val="24"/>
        </w:rPr>
        <w:t>可通过活动数据与温室气体排放系数</w:t>
      </w:r>
      <w:r w:rsidR="00927368">
        <w:rPr>
          <w:rFonts w:hint="eastAsia"/>
          <w:kern w:val="0"/>
          <w:sz w:val="24"/>
        </w:rPr>
        <w:t>的乘积</w:t>
      </w:r>
      <w:r>
        <w:rPr>
          <w:rFonts w:hint="eastAsia"/>
          <w:kern w:val="0"/>
          <w:sz w:val="24"/>
        </w:rPr>
        <w:t>来计算</w:t>
      </w:r>
      <w:r>
        <w:rPr>
          <w:rFonts w:hint="eastAsia"/>
          <w:kern w:val="0"/>
          <w:sz w:val="24"/>
        </w:rPr>
        <w:t>GHG</w:t>
      </w:r>
      <w:r>
        <w:rPr>
          <w:rFonts w:hint="eastAsia"/>
          <w:kern w:val="0"/>
          <w:sz w:val="24"/>
        </w:rPr>
        <w:t>排放</w:t>
      </w:r>
      <w:r w:rsidR="00F5250F">
        <w:rPr>
          <w:rFonts w:hint="eastAsia"/>
          <w:kern w:val="0"/>
          <w:sz w:val="24"/>
        </w:rPr>
        <w:t>量</w:t>
      </w:r>
      <w:r>
        <w:rPr>
          <w:rFonts w:hint="eastAsia"/>
          <w:kern w:val="0"/>
          <w:sz w:val="24"/>
        </w:rPr>
        <w:t>，进而计算相应的碳足迹结果；</w:t>
      </w:r>
      <w:r w:rsidR="00927368">
        <w:rPr>
          <w:rFonts w:hint="eastAsia"/>
          <w:kern w:val="0"/>
          <w:sz w:val="24"/>
        </w:rPr>
        <w:t>间接排放的部分，</w:t>
      </w:r>
      <w:r w:rsidR="00F328F5">
        <w:rPr>
          <w:rFonts w:hint="eastAsia"/>
          <w:kern w:val="0"/>
          <w:sz w:val="24"/>
        </w:rPr>
        <w:t>以中间流产品的</w:t>
      </w:r>
      <w:r w:rsidR="00202DC4">
        <w:rPr>
          <w:rFonts w:hint="eastAsia"/>
          <w:kern w:val="0"/>
          <w:sz w:val="24"/>
        </w:rPr>
        <w:t>碳足迹结果为碳足迹因子</w:t>
      </w:r>
      <w:r w:rsidR="00927368">
        <w:rPr>
          <w:rFonts w:hint="eastAsia"/>
          <w:kern w:val="0"/>
          <w:sz w:val="24"/>
        </w:rPr>
        <w:t>来</w:t>
      </w:r>
      <w:r w:rsidR="00202DC4">
        <w:rPr>
          <w:rFonts w:hint="eastAsia"/>
          <w:kern w:val="0"/>
          <w:sz w:val="24"/>
        </w:rPr>
        <w:t>计算本单元过程的</w:t>
      </w:r>
      <w:r w:rsidR="00202DC4" w:rsidRPr="00F328F5">
        <w:rPr>
          <w:rFonts w:hint="eastAsia"/>
          <w:kern w:val="0"/>
          <w:sz w:val="24"/>
        </w:rPr>
        <w:t>碳足迹</w:t>
      </w:r>
      <w:r w:rsidR="00D9492D" w:rsidRPr="00F328F5">
        <w:rPr>
          <w:rFonts w:hint="eastAsia"/>
          <w:kern w:val="0"/>
          <w:sz w:val="24"/>
        </w:rPr>
        <w:t>，</w:t>
      </w:r>
      <w:bookmarkEnd w:id="13"/>
      <w:r w:rsidR="00D9492D" w:rsidRPr="00F328F5">
        <w:rPr>
          <w:rFonts w:hint="eastAsia"/>
          <w:kern w:val="0"/>
          <w:sz w:val="24"/>
        </w:rPr>
        <w:t>中间流</w:t>
      </w:r>
      <w:r w:rsidR="0029670C" w:rsidRPr="00F328F5">
        <w:rPr>
          <w:rFonts w:hint="eastAsia"/>
          <w:kern w:val="0"/>
          <w:sz w:val="24"/>
        </w:rPr>
        <w:t>产品</w:t>
      </w:r>
      <w:r w:rsidR="00D9492D" w:rsidRPr="00F328F5">
        <w:rPr>
          <w:rFonts w:hint="eastAsia"/>
          <w:kern w:val="0"/>
          <w:sz w:val="24"/>
        </w:rPr>
        <w:t>碳足迹因子以</w:t>
      </w:r>
      <w:r w:rsidR="00D9492D" w:rsidRPr="00F328F5">
        <w:rPr>
          <w:rFonts w:hint="eastAsia"/>
          <w:kern w:val="0"/>
          <w:sz w:val="24"/>
        </w:rPr>
        <w:t>kgCO</w:t>
      </w:r>
      <w:r w:rsidR="00D9492D" w:rsidRPr="00F328F5">
        <w:rPr>
          <w:rFonts w:hint="eastAsia"/>
          <w:kern w:val="0"/>
          <w:sz w:val="24"/>
          <w:vertAlign w:val="subscript"/>
        </w:rPr>
        <w:t>2</w:t>
      </w:r>
      <w:r w:rsidR="00D9492D" w:rsidRPr="00F328F5">
        <w:rPr>
          <w:rFonts w:hint="eastAsia"/>
          <w:kern w:val="0"/>
          <w:sz w:val="24"/>
        </w:rPr>
        <w:t>e</w:t>
      </w:r>
      <w:r w:rsidR="0029670C" w:rsidRPr="00F328F5">
        <w:rPr>
          <w:rFonts w:hint="eastAsia"/>
          <w:kern w:val="0"/>
          <w:sz w:val="24"/>
        </w:rPr>
        <w:t>/</w:t>
      </w:r>
      <w:r w:rsidR="00363FA8">
        <w:rPr>
          <w:rFonts w:hint="eastAsia"/>
          <w:kern w:val="0"/>
          <w:sz w:val="24"/>
        </w:rPr>
        <w:t>声明单位</w:t>
      </w:r>
      <w:r w:rsidR="0029670C" w:rsidRPr="00F328F5">
        <w:rPr>
          <w:rFonts w:hint="eastAsia"/>
          <w:kern w:val="0"/>
          <w:sz w:val="24"/>
        </w:rPr>
        <w:t>计，</w:t>
      </w:r>
      <w:r w:rsidR="00F328F5">
        <w:rPr>
          <w:rFonts w:hint="eastAsia"/>
          <w:kern w:val="0"/>
          <w:sz w:val="24"/>
        </w:rPr>
        <w:t>其</w:t>
      </w:r>
      <w:r w:rsidR="00363FA8">
        <w:rPr>
          <w:rFonts w:hint="eastAsia"/>
          <w:kern w:val="0"/>
          <w:sz w:val="24"/>
        </w:rPr>
        <w:t>声明单位</w:t>
      </w:r>
      <w:r w:rsidR="0029670C" w:rsidRPr="00F328F5">
        <w:rPr>
          <w:rFonts w:hint="eastAsia"/>
          <w:kern w:val="0"/>
          <w:sz w:val="24"/>
        </w:rPr>
        <w:t>指核算中间流产品自身碳足迹时所确定的</w:t>
      </w:r>
      <w:r w:rsidR="00363FA8">
        <w:rPr>
          <w:rFonts w:hint="eastAsia"/>
          <w:kern w:val="0"/>
          <w:sz w:val="24"/>
        </w:rPr>
        <w:t>声明单位</w:t>
      </w:r>
      <w:r w:rsidR="0029670C" w:rsidRPr="00F328F5">
        <w:rPr>
          <w:rFonts w:hint="eastAsia"/>
          <w:kern w:val="0"/>
          <w:sz w:val="24"/>
        </w:rPr>
        <w:t>，与当前产品</w:t>
      </w:r>
      <w:r w:rsidR="00363FA8">
        <w:rPr>
          <w:rFonts w:hint="eastAsia"/>
          <w:kern w:val="0"/>
          <w:sz w:val="24"/>
        </w:rPr>
        <w:t>声明单位</w:t>
      </w:r>
      <w:r w:rsidR="0029670C" w:rsidRPr="00F328F5">
        <w:rPr>
          <w:rFonts w:hint="eastAsia"/>
          <w:kern w:val="0"/>
          <w:sz w:val="24"/>
        </w:rPr>
        <w:t>无关</w:t>
      </w:r>
      <w:r w:rsidR="00202DC4" w:rsidRPr="00F328F5">
        <w:rPr>
          <w:rFonts w:hint="eastAsia"/>
          <w:kern w:val="0"/>
          <w:sz w:val="24"/>
        </w:rPr>
        <w:t>。</w:t>
      </w:r>
      <w:r w:rsidR="00C638F0">
        <w:rPr>
          <w:rFonts w:hint="eastAsia"/>
          <w:kern w:val="0"/>
          <w:sz w:val="24"/>
        </w:rPr>
        <w:t>本标准</w:t>
      </w:r>
      <w:r w:rsidR="00542349">
        <w:rPr>
          <w:rFonts w:hint="eastAsia"/>
          <w:kern w:val="0"/>
          <w:sz w:val="24"/>
        </w:rPr>
        <w:t>参考国家标准</w:t>
      </w:r>
      <w:r w:rsidR="00542349" w:rsidRPr="000C0E56">
        <w:rPr>
          <w:rFonts w:hint="eastAsia"/>
          <w:kern w:val="0"/>
          <w:sz w:val="24"/>
        </w:rPr>
        <w:t>《温室气体</w:t>
      </w:r>
      <w:r w:rsidR="00542349" w:rsidRPr="000C0E56">
        <w:rPr>
          <w:rFonts w:hint="eastAsia"/>
          <w:kern w:val="0"/>
          <w:sz w:val="24"/>
        </w:rPr>
        <w:t xml:space="preserve"> </w:t>
      </w:r>
      <w:r w:rsidR="00542349" w:rsidRPr="000C0E56">
        <w:rPr>
          <w:rFonts w:hint="eastAsia"/>
          <w:kern w:val="0"/>
          <w:sz w:val="24"/>
        </w:rPr>
        <w:t>产品碳足迹</w:t>
      </w:r>
      <w:r w:rsidR="00542349" w:rsidRPr="000C0E56">
        <w:rPr>
          <w:rFonts w:hint="eastAsia"/>
          <w:kern w:val="0"/>
          <w:sz w:val="24"/>
        </w:rPr>
        <w:t xml:space="preserve"> </w:t>
      </w:r>
      <w:r w:rsidR="00542349" w:rsidRPr="000C0E56">
        <w:rPr>
          <w:rFonts w:hint="eastAsia"/>
          <w:kern w:val="0"/>
          <w:sz w:val="24"/>
        </w:rPr>
        <w:t>量化要求和指南》（</w:t>
      </w:r>
      <w:r w:rsidR="00542349" w:rsidRPr="000C0E56">
        <w:rPr>
          <w:rFonts w:hint="eastAsia"/>
          <w:kern w:val="0"/>
          <w:sz w:val="24"/>
        </w:rPr>
        <w:t>GB/T 24067-2024</w:t>
      </w:r>
      <w:r w:rsidR="00542349" w:rsidRPr="000C0E56">
        <w:rPr>
          <w:rFonts w:hint="eastAsia"/>
          <w:kern w:val="0"/>
          <w:sz w:val="24"/>
        </w:rPr>
        <w:t>）</w:t>
      </w:r>
      <w:r w:rsidR="00542349">
        <w:rPr>
          <w:rFonts w:hint="eastAsia"/>
          <w:kern w:val="0"/>
          <w:sz w:val="24"/>
        </w:rPr>
        <w:t>，进一步完善了</w:t>
      </w:r>
      <w:r w:rsidR="00C638F0">
        <w:rPr>
          <w:rFonts w:hint="eastAsia"/>
          <w:kern w:val="0"/>
          <w:sz w:val="24"/>
        </w:rPr>
        <w:t>产品碳足迹计算公式，</w:t>
      </w:r>
      <w:r w:rsidR="00A93A57">
        <w:rPr>
          <w:rFonts w:hint="eastAsia"/>
          <w:kern w:val="0"/>
          <w:sz w:val="24"/>
        </w:rPr>
        <w:t>如式（</w:t>
      </w:r>
      <w:r w:rsidR="00A93A57">
        <w:rPr>
          <w:rFonts w:hint="eastAsia"/>
          <w:kern w:val="0"/>
          <w:sz w:val="24"/>
        </w:rPr>
        <w:t>2</w:t>
      </w:r>
      <w:r w:rsidR="00A93A57">
        <w:rPr>
          <w:rFonts w:hint="eastAsia"/>
          <w:kern w:val="0"/>
          <w:sz w:val="24"/>
        </w:rPr>
        <w:t>）所示</w:t>
      </w:r>
      <w:r w:rsidR="00C638F0">
        <w:rPr>
          <w:rFonts w:hint="eastAsia"/>
          <w:kern w:val="0"/>
          <w:sz w:val="24"/>
        </w:rPr>
        <w:t>。</w:t>
      </w:r>
    </w:p>
    <w:p w14:paraId="5FF45B3C" w14:textId="67F0B46F" w:rsidR="00542349" w:rsidRDefault="00542349" w:rsidP="00542349">
      <w:pPr>
        <w:pStyle w:val="MTDisplayEquation"/>
      </w:pPr>
      <w:r>
        <w:tab/>
      </w:r>
      <w:r w:rsidRPr="00542349">
        <w:rPr>
          <w:position w:val="-14"/>
        </w:rPr>
        <w:object w:dxaOrig="4420" w:dyaOrig="380" w14:anchorId="74451A43">
          <v:shape id="_x0000_i1029" type="#_x0000_t75" style="width:221.35pt;height:18.8pt" o:ole="">
            <v:imagedata r:id="rId19" o:title=""/>
          </v:shape>
          <o:OLEObject Type="Embed" ProgID="Equation.DSMT4" ShapeID="_x0000_i1029" DrawAspect="Content" ObjectID="_1819541941" r:id="rId20"/>
        </w:objec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Pr>
            <w:noProof/>
          </w:rPr>
          <w:instrText>2</w:instrText>
        </w:r>
      </w:fldSimple>
      <w:r>
        <w:instrText>)</w:instrText>
      </w:r>
      <w:r>
        <w:fldChar w:fldCharType="end"/>
      </w:r>
    </w:p>
    <w:p w14:paraId="4F2BCA2A" w14:textId="3C417A03" w:rsidR="00202DC4" w:rsidRDefault="00202DC4" w:rsidP="00202DC4">
      <w:pPr>
        <w:snapToGrid w:val="0"/>
        <w:spacing w:line="360" w:lineRule="auto"/>
        <w:ind w:firstLineChars="200" w:firstLine="480"/>
        <w:rPr>
          <w:kern w:val="0"/>
          <w:sz w:val="24"/>
        </w:rPr>
      </w:pPr>
      <w:r>
        <w:rPr>
          <w:rFonts w:hint="eastAsia"/>
          <w:kern w:val="0"/>
          <w:sz w:val="24"/>
        </w:rPr>
        <w:t>式中：</w:t>
      </w:r>
    </w:p>
    <w:tbl>
      <w:tblPr>
        <w:tblStyle w:val="70"/>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20"/>
        <w:gridCol w:w="523"/>
        <w:gridCol w:w="6762"/>
      </w:tblGrid>
      <w:tr w:rsidR="00202DC4" w:rsidRPr="00202DC4" w14:paraId="24D0765B" w14:textId="77777777" w:rsidTr="00DD3329">
        <w:trPr>
          <w:trHeight w:val="283"/>
        </w:trPr>
        <w:tc>
          <w:tcPr>
            <w:tcW w:w="1220" w:type="dxa"/>
          </w:tcPr>
          <w:p w14:paraId="56010D56" w14:textId="77777777" w:rsidR="00202DC4" w:rsidRPr="00202DC4" w:rsidRDefault="00202DC4" w:rsidP="00202DC4">
            <w:pPr>
              <w:widowControl/>
              <w:autoSpaceDE w:val="0"/>
              <w:autoSpaceDN w:val="0"/>
              <w:adjustRightInd w:val="0"/>
              <w:snapToGrid w:val="0"/>
              <w:spacing w:line="360" w:lineRule="auto"/>
              <w:ind w:firstLineChars="200" w:firstLine="480"/>
              <w:jc w:val="right"/>
              <w:rPr>
                <w:kern w:val="0"/>
                <w:sz w:val="24"/>
              </w:rPr>
            </w:pPr>
            <w:r w:rsidRPr="00202DC4">
              <w:rPr>
                <w:rFonts w:ascii="Times New Roman" w:hAnsi="Times New Roman"/>
                <w:kern w:val="0"/>
                <w:position w:val="-12"/>
                <w:sz w:val="24"/>
              </w:rPr>
              <w:object w:dxaOrig="740" w:dyaOrig="360" w14:anchorId="256C1BB7">
                <v:shape id="_x0000_i1030" type="#_x0000_t75" style="width:36.55pt;height:18.8pt" o:ole="">
                  <v:imagedata r:id="rId21" o:title=""/>
                </v:shape>
                <o:OLEObject Type="Embed" ProgID="Equation.DSMT4" ShapeID="_x0000_i1030" DrawAspect="Content" ObjectID="_1819541942" r:id="rId22"/>
              </w:object>
            </w:r>
          </w:p>
        </w:tc>
        <w:tc>
          <w:tcPr>
            <w:tcW w:w="523" w:type="dxa"/>
          </w:tcPr>
          <w:p w14:paraId="016983CC" w14:textId="77777777" w:rsidR="00202DC4" w:rsidRPr="00202DC4" w:rsidRDefault="00202DC4" w:rsidP="00202DC4">
            <w:pPr>
              <w:widowControl/>
              <w:autoSpaceDE w:val="0"/>
              <w:autoSpaceDN w:val="0"/>
              <w:snapToGrid w:val="0"/>
              <w:spacing w:line="360" w:lineRule="auto"/>
              <w:rPr>
                <w:rFonts w:ascii="Times New Roman" w:hAnsi="Times New Roman"/>
                <w:kern w:val="0"/>
                <w:sz w:val="24"/>
              </w:rPr>
            </w:pPr>
            <w:r w:rsidRPr="00202DC4">
              <w:rPr>
                <w:rFonts w:ascii="Times New Roman" w:hAnsi="Times New Roman"/>
                <w:kern w:val="0"/>
                <w:sz w:val="24"/>
              </w:rPr>
              <w:t>——</w:t>
            </w:r>
          </w:p>
        </w:tc>
        <w:tc>
          <w:tcPr>
            <w:tcW w:w="6762" w:type="dxa"/>
          </w:tcPr>
          <w:p w14:paraId="47F1DDA2" w14:textId="2BB5D5BA" w:rsidR="00202DC4" w:rsidRPr="00202DC4" w:rsidRDefault="00202DC4" w:rsidP="00202DC4">
            <w:pPr>
              <w:widowControl/>
              <w:autoSpaceDE w:val="0"/>
              <w:autoSpaceDN w:val="0"/>
              <w:snapToGrid w:val="0"/>
              <w:spacing w:line="360" w:lineRule="auto"/>
              <w:rPr>
                <w:rFonts w:ascii="Times New Roman"/>
                <w:kern w:val="0"/>
                <w:sz w:val="24"/>
              </w:rPr>
            </w:pPr>
            <w:r w:rsidRPr="00202DC4">
              <w:rPr>
                <w:rFonts w:ascii="Times New Roman" w:hint="eastAsia"/>
                <w:kern w:val="0"/>
                <w:sz w:val="24"/>
              </w:rPr>
              <w:t>产品碳足迹，以千克二氧化碳当量每</w:t>
            </w:r>
            <w:r w:rsidR="00363FA8">
              <w:rPr>
                <w:rFonts w:ascii="Times New Roman" w:hint="eastAsia"/>
                <w:kern w:val="0"/>
                <w:sz w:val="24"/>
              </w:rPr>
              <w:t>声明单位</w:t>
            </w:r>
            <w:r w:rsidRPr="00202DC4">
              <w:rPr>
                <w:rFonts w:ascii="Times New Roman" w:hint="eastAsia"/>
                <w:kern w:val="0"/>
                <w:sz w:val="24"/>
              </w:rPr>
              <w:t>（</w:t>
            </w:r>
            <w:r w:rsidRPr="00202DC4">
              <w:rPr>
                <w:rFonts w:ascii="Times New Roman"/>
                <w:kern w:val="0"/>
                <w:sz w:val="24"/>
              </w:rPr>
              <w:t>kgCO</w:t>
            </w:r>
            <w:r w:rsidRPr="00202DC4">
              <w:rPr>
                <w:rFonts w:ascii="Times New Roman"/>
                <w:kern w:val="0"/>
                <w:sz w:val="24"/>
                <w:vertAlign w:val="subscript"/>
              </w:rPr>
              <w:t>2</w:t>
            </w:r>
            <w:r w:rsidRPr="00202DC4">
              <w:rPr>
                <w:rFonts w:ascii="Times New Roman"/>
                <w:kern w:val="0"/>
                <w:sz w:val="24"/>
              </w:rPr>
              <w:t>e/</w:t>
            </w:r>
            <w:r w:rsidR="00363FA8">
              <w:rPr>
                <w:rFonts w:ascii="Times New Roman" w:hint="eastAsia"/>
                <w:kern w:val="0"/>
                <w:sz w:val="24"/>
              </w:rPr>
              <w:t>声明单位</w:t>
            </w:r>
            <w:r w:rsidRPr="00202DC4">
              <w:rPr>
                <w:rFonts w:ascii="Times New Roman" w:hint="eastAsia"/>
                <w:kern w:val="0"/>
                <w:sz w:val="24"/>
              </w:rPr>
              <w:t>）计；</w:t>
            </w:r>
          </w:p>
        </w:tc>
      </w:tr>
      <w:tr w:rsidR="00202DC4" w:rsidRPr="00202DC4" w14:paraId="086DCB76" w14:textId="77777777" w:rsidTr="00DD3329">
        <w:trPr>
          <w:trHeight w:val="283"/>
        </w:trPr>
        <w:tc>
          <w:tcPr>
            <w:tcW w:w="1220" w:type="dxa"/>
          </w:tcPr>
          <w:p w14:paraId="6C595294" w14:textId="77777777" w:rsidR="00202DC4" w:rsidRPr="00202DC4" w:rsidRDefault="00202DC4" w:rsidP="00202DC4">
            <w:pPr>
              <w:widowControl/>
              <w:autoSpaceDE w:val="0"/>
              <w:autoSpaceDN w:val="0"/>
              <w:adjustRightInd w:val="0"/>
              <w:snapToGrid w:val="0"/>
              <w:spacing w:line="360" w:lineRule="auto"/>
              <w:ind w:firstLineChars="200" w:firstLine="480"/>
              <w:jc w:val="right"/>
              <w:rPr>
                <w:kern w:val="0"/>
                <w:sz w:val="24"/>
              </w:rPr>
            </w:pPr>
            <w:r w:rsidRPr="00202DC4">
              <w:rPr>
                <w:rFonts w:ascii="Times New Roman" w:hAnsi="Times New Roman"/>
                <w:kern w:val="0"/>
                <w:position w:val="-12"/>
                <w:sz w:val="24"/>
              </w:rPr>
              <w:object w:dxaOrig="400" w:dyaOrig="360" w14:anchorId="3F700908">
                <v:shape id="_x0000_i1031" type="#_x0000_t75" style="width:20.4pt;height:18.8pt" o:ole="">
                  <v:imagedata r:id="rId23" o:title=""/>
                </v:shape>
                <o:OLEObject Type="Embed" ProgID="Equation.DSMT4" ShapeID="_x0000_i1031" DrawAspect="Content" ObjectID="_1819541943" r:id="rId24"/>
              </w:object>
            </w:r>
          </w:p>
        </w:tc>
        <w:tc>
          <w:tcPr>
            <w:tcW w:w="523" w:type="dxa"/>
          </w:tcPr>
          <w:p w14:paraId="39C1E995" w14:textId="77777777" w:rsidR="00202DC4" w:rsidRPr="00202DC4" w:rsidRDefault="00202DC4" w:rsidP="00202DC4">
            <w:pPr>
              <w:widowControl/>
              <w:autoSpaceDE w:val="0"/>
              <w:autoSpaceDN w:val="0"/>
              <w:snapToGrid w:val="0"/>
              <w:spacing w:line="360" w:lineRule="auto"/>
              <w:rPr>
                <w:rFonts w:ascii="Times New Roman" w:hAnsi="Times New Roman"/>
                <w:kern w:val="0"/>
                <w:sz w:val="24"/>
              </w:rPr>
            </w:pPr>
            <w:r w:rsidRPr="00202DC4">
              <w:rPr>
                <w:rFonts w:ascii="Times New Roman" w:hAnsi="Times New Roman"/>
                <w:kern w:val="0"/>
                <w:sz w:val="24"/>
              </w:rPr>
              <w:t>——</w:t>
            </w:r>
          </w:p>
        </w:tc>
        <w:tc>
          <w:tcPr>
            <w:tcW w:w="6762" w:type="dxa"/>
          </w:tcPr>
          <w:p w14:paraId="5F2ACFAB" w14:textId="795F31F5" w:rsidR="00202DC4" w:rsidRPr="00202DC4" w:rsidRDefault="00202DC4" w:rsidP="00202DC4">
            <w:pPr>
              <w:widowControl/>
              <w:autoSpaceDE w:val="0"/>
              <w:autoSpaceDN w:val="0"/>
              <w:adjustRightInd w:val="0"/>
              <w:snapToGrid w:val="0"/>
              <w:spacing w:line="360" w:lineRule="auto"/>
              <w:rPr>
                <w:rFonts w:ascii="Times New Roman"/>
                <w:kern w:val="0"/>
                <w:sz w:val="24"/>
              </w:rPr>
            </w:pPr>
            <w:r w:rsidRPr="00202DC4">
              <w:rPr>
                <w:rFonts w:ascii="Times New Roman" w:hint="eastAsia"/>
                <w:kern w:val="0"/>
                <w:sz w:val="24"/>
              </w:rPr>
              <w:t>系统边界内，各</w:t>
            </w:r>
            <w:r w:rsidR="00363FA8">
              <w:rPr>
                <w:rFonts w:ascii="Times New Roman" w:hint="eastAsia"/>
                <w:kern w:val="0"/>
                <w:sz w:val="24"/>
              </w:rPr>
              <w:t>声明单位</w:t>
            </w:r>
            <w:r w:rsidRPr="00202DC4">
              <w:rPr>
                <w:rFonts w:ascii="Times New Roman" w:hint="eastAsia"/>
                <w:kern w:val="0"/>
                <w:sz w:val="24"/>
              </w:rPr>
              <w:t>中第</w:t>
            </w:r>
            <w:r w:rsidRPr="00202DC4">
              <w:rPr>
                <w:rFonts w:ascii="Times New Roman"/>
                <w:i/>
                <w:iCs/>
                <w:kern w:val="0"/>
                <w:sz w:val="24"/>
              </w:rPr>
              <w:t xml:space="preserve"> </w:t>
            </w:r>
            <w:proofErr w:type="spellStart"/>
            <w:r w:rsidRPr="00202DC4">
              <w:rPr>
                <w:rFonts w:ascii="Times New Roman"/>
                <w:i/>
                <w:iCs/>
                <w:kern w:val="0"/>
                <w:sz w:val="24"/>
              </w:rPr>
              <w:t>i</w:t>
            </w:r>
            <w:proofErr w:type="spellEnd"/>
            <w:r w:rsidRPr="00202DC4">
              <w:rPr>
                <w:rFonts w:ascii="Times New Roman" w:hint="eastAsia"/>
                <w:kern w:val="0"/>
                <w:sz w:val="24"/>
              </w:rPr>
              <w:t xml:space="preserve"> </w:t>
            </w:r>
            <w:proofErr w:type="gramStart"/>
            <w:r w:rsidRPr="00202DC4">
              <w:rPr>
                <w:rFonts w:ascii="Times New Roman" w:hint="eastAsia"/>
                <w:kern w:val="0"/>
                <w:sz w:val="24"/>
              </w:rPr>
              <w:t>种活动</w:t>
            </w:r>
            <w:proofErr w:type="gramEnd"/>
            <w:r w:rsidRPr="00202DC4">
              <w:rPr>
                <w:rFonts w:ascii="Times New Roman" w:hint="eastAsia"/>
                <w:kern w:val="0"/>
                <w:sz w:val="24"/>
              </w:rPr>
              <w:t>的</w:t>
            </w:r>
            <w:r w:rsidRPr="00202DC4">
              <w:rPr>
                <w:rFonts w:ascii="Times New Roman"/>
                <w:kern w:val="0"/>
                <w:sz w:val="24"/>
              </w:rPr>
              <w:t>GHG</w:t>
            </w:r>
            <w:r w:rsidRPr="00202DC4">
              <w:rPr>
                <w:rFonts w:ascii="Times New Roman" w:hint="eastAsia"/>
                <w:kern w:val="0"/>
                <w:sz w:val="24"/>
              </w:rPr>
              <w:t>排放和清除相关数据（包括初级数据和次级数据），单位根据具体排放源确定；</w:t>
            </w:r>
          </w:p>
        </w:tc>
      </w:tr>
      <w:tr w:rsidR="00202DC4" w:rsidRPr="00202DC4" w14:paraId="55EBE4B7" w14:textId="77777777" w:rsidTr="00DD3329">
        <w:trPr>
          <w:trHeight w:val="283"/>
        </w:trPr>
        <w:tc>
          <w:tcPr>
            <w:tcW w:w="1220" w:type="dxa"/>
          </w:tcPr>
          <w:p w14:paraId="77231666" w14:textId="3FB6BCE8" w:rsidR="00202DC4" w:rsidRPr="00202DC4" w:rsidRDefault="00202DC4" w:rsidP="00202DC4">
            <w:pPr>
              <w:widowControl/>
              <w:autoSpaceDE w:val="0"/>
              <w:autoSpaceDN w:val="0"/>
              <w:adjustRightInd w:val="0"/>
              <w:snapToGrid w:val="0"/>
              <w:spacing w:line="360" w:lineRule="auto"/>
              <w:ind w:firstLineChars="200" w:firstLine="480"/>
              <w:jc w:val="right"/>
              <w:rPr>
                <w:kern w:val="0"/>
                <w:sz w:val="24"/>
              </w:rPr>
            </w:pPr>
            <w:r w:rsidRPr="00202DC4">
              <w:rPr>
                <w:rFonts w:ascii="Times New Roman" w:hAnsi="Times New Roman"/>
                <w:kern w:val="0"/>
                <w:position w:val="-14"/>
                <w:sz w:val="24"/>
              </w:rPr>
              <w:object w:dxaOrig="520" w:dyaOrig="380" w14:anchorId="481751AC">
                <v:shape id="_x0000_i1032" type="#_x0000_t75" style="width:25.25pt;height:17.2pt" o:ole="">
                  <v:imagedata r:id="rId25" o:title=""/>
                </v:shape>
                <o:OLEObject Type="Embed" ProgID="Equation.DSMT4" ShapeID="_x0000_i1032" DrawAspect="Content" ObjectID="_1819541944" r:id="rId26"/>
              </w:object>
            </w:r>
          </w:p>
        </w:tc>
        <w:tc>
          <w:tcPr>
            <w:tcW w:w="523" w:type="dxa"/>
          </w:tcPr>
          <w:p w14:paraId="181F5186" w14:textId="77777777" w:rsidR="00202DC4" w:rsidRPr="00202DC4" w:rsidRDefault="00202DC4" w:rsidP="00202DC4">
            <w:pPr>
              <w:widowControl/>
              <w:autoSpaceDE w:val="0"/>
              <w:autoSpaceDN w:val="0"/>
              <w:snapToGrid w:val="0"/>
              <w:spacing w:line="360" w:lineRule="auto"/>
              <w:rPr>
                <w:rFonts w:ascii="Times New Roman" w:hAnsi="Times New Roman"/>
                <w:kern w:val="0"/>
                <w:sz w:val="24"/>
              </w:rPr>
            </w:pPr>
            <w:r w:rsidRPr="00202DC4">
              <w:rPr>
                <w:rFonts w:ascii="Times New Roman" w:hAnsi="Times New Roman"/>
                <w:kern w:val="0"/>
                <w:sz w:val="24"/>
              </w:rPr>
              <w:t>——</w:t>
            </w:r>
          </w:p>
        </w:tc>
        <w:tc>
          <w:tcPr>
            <w:tcW w:w="6762" w:type="dxa"/>
          </w:tcPr>
          <w:p w14:paraId="04874EEF" w14:textId="77777777" w:rsidR="00202DC4" w:rsidRPr="00202DC4" w:rsidRDefault="00202DC4" w:rsidP="00202DC4">
            <w:pPr>
              <w:widowControl/>
              <w:autoSpaceDE w:val="0"/>
              <w:autoSpaceDN w:val="0"/>
              <w:adjustRightInd w:val="0"/>
              <w:snapToGrid w:val="0"/>
              <w:spacing w:line="360" w:lineRule="auto"/>
              <w:rPr>
                <w:rFonts w:ascii="Times New Roman"/>
                <w:kern w:val="0"/>
                <w:sz w:val="24"/>
              </w:rPr>
            </w:pPr>
            <w:r w:rsidRPr="00202DC4">
              <w:rPr>
                <w:rFonts w:ascii="Times New Roman" w:hint="eastAsia"/>
                <w:kern w:val="0"/>
                <w:sz w:val="24"/>
              </w:rPr>
              <w:t>第</w:t>
            </w:r>
            <w:r w:rsidRPr="00202DC4">
              <w:rPr>
                <w:rFonts w:ascii="Times New Roman" w:hint="eastAsia"/>
                <w:kern w:val="0"/>
                <w:sz w:val="24"/>
              </w:rPr>
              <w:t xml:space="preserve"> </w:t>
            </w:r>
            <w:proofErr w:type="spellStart"/>
            <w:r w:rsidRPr="00202DC4">
              <w:rPr>
                <w:rFonts w:ascii="Times New Roman" w:hint="eastAsia"/>
                <w:i/>
                <w:iCs/>
                <w:kern w:val="0"/>
                <w:sz w:val="24"/>
              </w:rPr>
              <w:t>i</w:t>
            </w:r>
            <w:proofErr w:type="spellEnd"/>
            <w:r w:rsidRPr="00202DC4">
              <w:rPr>
                <w:rFonts w:ascii="Times New Roman" w:hint="eastAsia"/>
                <w:i/>
                <w:iCs/>
                <w:kern w:val="0"/>
                <w:sz w:val="24"/>
              </w:rPr>
              <w:t xml:space="preserve"> </w:t>
            </w:r>
            <w:r w:rsidRPr="00202DC4">
              <w:rPr>
                <w:rFonts w:ascii="Times New Roman" w:hint="eastAsia"/>
                <w:kern w:val="0"/>
                <w:sz w:val="24"/>
              </w:rPr>
              <w:t>种活动对应的温室气体</w:t>
            </w:r>
            <w:r w:rsidRPr="00202DC4">
              <w:rPr>
                <w:rFonts w:ascii="Times New Roman" w:hint="eastAsia"/>
                <w:kern w:val="0"/>
                <w:sz w:val="24"/>
              </w:rPr>
              <w:t xml:space="preserve"> </w:t>
            </w:r>
            <w:r w:rsidRPr="00202DC4">
              <w:rPr>
                <w:rFonts w:ascii="Times New Roman"/>
                <w:i/>
                <w:iCs/>
                <w:kern w:val="0"/>
                <w:sz w:val="24"/>
              </w:rPr>
              <w:t>j</w:t>
            </w:r>
            <w:r w:rsidRPr="00202DC4">
              <w:rPr>
                <w:rFonts w:ascii="Times New Roman" w:hint="eastAsia"/>
                <w:i/>
                <w:iCs/>
                <w:kern w:val="0"/>
                <w:sz w:val="24"/>
              </w:rPr>
              <w:t xml:space="preserve"> </w:t>
            </w:r>
            <w:r w:rsidRPr="00202DC4">
              <w:rPr>
                <w:rFonts w:ascii="Times New Roman" w:hint="eastAsia"/>
                <w:kern w:val="0"/>
                <w:sz w:val="24"/>
              </w:rPr>
              <w:t>的排放系数，单位与</w:t>
            </w:r>
            <w:r w:rsidRPr="00202DC4">
              <w:rPr>
                <w:rFonts w:ascii="Times New Roman"/>
                <w:kern w:val="0"/>
                <w:sz w:val="24"/>
              </w:rPr>
              <w:t>GHG</w:t>
            </w:r>
            <w:r w:rsidRPr="00202DC4">
              <w:rPr>
                <w:rFonts w:ascii="Times New Roman" w:hint="eastAsia"/>
                <w:kern w:val="0"/>
                <w:sz w:val="24"/>
              </w:rPr>
              <w:t>活动数据相匹配；</w:t>
            </w:r>
          </w:p>
        </w:tc>
      </w:tr>
      <w:tr w:rsidR="00202DC4" w:rsidRPr="00202DC4" w14:paraId="6C2B72D9" w14:textId="77777777" w:rsidTr="00DD3329">
        <w:trPr>
          <w:trHeight w:val="283"/>
        </w:trPr>
        <w:tc>
          <w:tcPr>
            <w:tcW w:w="1220" w:type="dxa"/>
          </w:tcPr>
          <w:p w14:paraId="55B21BAB" w14:textId="77777777" w:rsidR="00202DC4" w:rsidRPr="00202DC4" w:rsidRDefault="00202DC4" w:rsidP="00202DC4">
            <w:pPr>
              <w:widowControl/>
              <w:autoSpaceDE w:val="0"/>
              <w:autoSpaceDN w:val="0"/>
              <w:adjustRightInd w:val="0"/>
              <w:snapToGrid w:val="0"/>
              <w:spacing w:line="360" w:lineRule="auto"/>
              <w:ind w:firstLineChars="200" w:firstLine="480"/>
              <w:jc w:val="right"/>
              <w:rPr>
                <w:kern w:val="0"/>
                <w:sz w:val="24"/>
              </w:rPr>
            </w:pPr>
            <w:r w:rsidRPr="00202DC4">
              <w:rPr>
                <w:rFonts w:ascii="Times New Roman" w:hAnsi="Times New Roman"/>
                <w:kern w:val="0"/>
                <w:position w:val="-14"/>
                <w:sz w:val="24"/>
              </w:rPr>
              <w:object w:dxaOrig="560" w:dyaOrig="380" w14:anchorId="41A4FE30">
                <v:shape id="_x0000_i1033" type="#_x0000_t75" style="width:23.1pt;height:17.75pt" o:ole="">
                  <v:imagedata r:id="rId27" o:title=""/>
                </v:shape>
                <o:OLEObject Type="Embed" ProgID="Equation.DSMT4" ShapeID="_x0000_i1033" DrawAspect="Content" ObjectID="_1819541945" r:id="rId28"/>
              </w:object>
            </w:r>
          </w:p>
        </w:tc>
        <w:tc>
          <w:tcPr>
            <w:tcW w:w="523" w:type="dxa"/>
          </w:tcPr>
          <w:p w14:paraId="2CDC4B22" w14:textId="77777777" w:rsidR="00202DC4" w:rsidRPr="00202DC4" w:rsidRDefault="00202DC4" w:rsidP="00202DC4">
            <w:pPr>
              <w:widowControl/>
              <w:autoSpaceDE w:val="0"/>
              <w:autoSpaceDN w:val="0"/>
              <w:snapToGrid w:val="0"/>
              <w:spacing w:line="360" w:lineRule="auto"/>
              <w:rPr>
                <w:rFonts w:ascii="Times New Roman" w:hAnsi="Times New Roman"/>
                <w:kern w:val="0"/>
                <w:sz w:val="24"/>
              </w:rPr>
            </w:pPr>
            <w:r w:rsidRPr="00202DC4">
              <w:rPr>
                <w:rFonts w:ascii="Times New Roman" w:hAnsi="Times New Roman"/>
                <w:kern w:val="0"/>
                <w:sz w:val="24"/>
              </w:rPr>
              <w:t>——</w:t>
            </w:r>
          </w:p>
        </w:tc>
        <w:tc>
          <w:tcPr>
            <w:tcW w:w="6762" w:type="dxa"/>
          </w:tcPr>
          <w:p w14:paraId="1A3B334B" w14:textId="77777777" w:rsidR="00202DC4" w:rsidRPr="00202DC4" w:rsidRDefault="00202DC4" w:rsidP="00202DC4">
            <w:pPr>
              <w:widowControl/>
              <w:autoSpaceDE w:val="0"/>
              <w:autoSpaceDN w:val="0"/>
              <w:snapToGrid w:val="0"/>
              <w:spacing w:line="360" w:lineRule="auto"/>
              <w:rPr>
                <w:rFonts w:ascii="Times New Roman"/>
                <w:kern w:val="0"/>
                <w:sz w:val="24"/>
              </w:rPr>
            </w:pPr>
            <w:r w:rsidRPr="00202DC4">
              <w:rPr>
                <w:rFonts w:ascii="Times New Roman" w:hint="eastAsia"/>
                <w:kern w:val="0"/>
                <w:sz w:val="24"/>
              </w:rPr>
              <w:t>温室气体</w:t>
            </w:r>
            <w:r w:rsidRPr="00202DC4">
              <w:rPr>
                <w:rFonts w:ascii="Times New Roman"/>
                <w:i/>
                <w:iCs/>
                <w:kern w:val="0"/>
                <w:sz w:val="24"/>
              </w:rPr>
              <w:t>j</w:t>
            </w:r>
            <w:r w:rsidRPr="00202DC4">
              <w:rPr>
                <w:rFonts w:ascii="Times New Roman" w:hint="eastAsia"/>
                <w:kern w:val="0"/>
                <w:sz w:val="24"/>
              </w:rPr>
              <w:t>的</w:t>
            </w:r>
            <w:r w:rsidRPr="00202DC4">
              <w:rPr>
                <w:rFonts w:ascii="Times New Roman"/>
                <w:kern w:val="0"/>
                <w:sz w:val="24"/>
              </w:rPr>
              <w:t>GWP</w:t>
            </w:r>
            <w:r w:rsidRPr="00202DC4">
              <w:rPr>
                <w:rFonts w:ascii="Times New Roman" w:hint="eastAsia"/>
                <w:kern w:val="0"/>
                <w:sz w:val="24"/>
              </w:rPr>
              <w:t>值。</w:t>
            </w:r>
          </w:p>
        </w:tc>
      </w:tr>
      <w:tr w:rsidR="00202DC4" w:rsidRPr="00202DC4" w14:paraId="580C36A3" w14:textId="77777777" w:rsidTr="00DD3329">
        <w:trPr>
          <w:trHeight w:val="283"/>
        </w:trPr>
        <w:tc>
          <w:tcPr>
            <w:tcW w:w="1220" w:type="dxa"/>
          </w:tcPr>
          <w:p w14:paraId="59E1EE49" w14:textId="77777777" w:rsidR="00202DC4" w:rsidRPr="00202DC4" w:rsidRDefault="00202DC4" w:rsidP="00202DC4">
            <w:pPr>
              <w:widowControl/>
              <w:autoSpaceDE w:val="0"/>
              <w:autoSpaceDN w:val="0"/>
              <w:adjustRightInd w:val="0"/>
              <w:snapToGrid w:val="0"/>
              <w:spacing w:line="360" w:lineRule="auto"/>
              <w:ind w:firstLineChars="200" w:firstLine="480"/>
              <w:jc w:val="right"/>
              <w:rPr>
                <w:kern w:val="0"/>
                <w:sz w:val="24"/>
              </w:rPr>
            </w:pPr>
            <w:r w:rsidRPr="00202DC4">
              <w:rPr>
                <w:rFonts w:ascii="Times New Roman" w:hAnsi="Times New Roman"/>
                <w:kern w:val="0"/>
                <w:position w:val="-10"/>
                <w:sz w:val="24"/>
              </w:rPr>
              <w:object w:dxaOrig="340" w:dyaOrig="320" w14:anchorId="71B854F2">
                <v:shape id="_x0000_i1034" type="#_x0000_t75" style="width:18.25pt;height:15.05pt" o:ole="">
                  <v:imagedata r:id="rId29" o:title=""/>
                </v:shape>
                <o:OLEObject Type="Embed" ProgID="Equation.DSMT4" ShapeID="_x0000_i1034" DrawAspect="Content" ObjectID="_1819541946" r:id="rId30"/>
              </w:object>
            </w:r>
          </w:p>
        </w:tc>
        <w:tc>
          <w:tcPr>
            <w:tcW w:w="523" w:type="dxa"/>
          </w:tcPr>
          <w:p w14:paraId="4B7F3F4F" w14:textId="77777777" w:rsidR="00202DC4" w:rsidRPr="00202DC4" w:rsidRDefault="00202DC4" w:rsidP="00202DC4">
            <w:pPr>
              <w:widowControl/>
              <w:autoSpaceDE w:val="0"/>
              <w:autoSpaceDN w:val="0"/>
              <w:snapToGrid w:val="0"/>
              <w:spacing w:line="360" w:lineRule="auto"/>
              <w:rPr>
                <w:rFonts w:ascii="Times New Roman" w:hAnsi="Times New Roman"/>
                <w:kern w:val="0"/>
                <w:sz w:val="24"/>
              </w:rPr>
            </w:pPr>
            <w:r w:rsidRPr="00202DC4">
              <w:rPr>
                <w:rFonts w:ascii="Times New Roman" w:hAnsi="Times New Roman"/>
                <w:kern w:val="0"/>
                <w:sz w:val="24"/>
              </w:rPr>
              <w:t>——</w:t>
            </w:r>
          </w:p>
        </w:tc>
        <w:tc>
          <w:tcPr>
            <w:tcW w:w="6762" w:type="dxa"/>
          </w:tcPr>
          <w:p w14:paraId="6BAC9CE7" w14:textId="540C8840" w:rsidR="00202DC4" w:rsidRPr="00202DC4" w:rsidRDefault="00D9492D" w:rsidP="00202DC4">
            <w:pPr>
              <w:widowControl/>
              <w:autoSpaceDE w:val="0"/>
              <w:autoSpaceDN w:val="0"/>
              <w:snapToGrid w:val="0"/>
              <w:spacing w:line="360" w:lineRule="auto"/>
              <w:rPr>
                <w:rFonts w:ascii="Times New Roman"/>
                <w:kern w:val="0"/>
                <w:sz w:val="24"/>
              </w:rPr>
            </w:pPr>
            <w:r>
              <w:rPr>
                <w:rFonts w:ascii="Times New Roman" w:hint="eastAsia"/>
                <w:kern w:val="0"/>
                <w:sz w:val="24"/>
              </w:rPr>
              <w:t>系统边界内，各</w:t>
            </w:r>
            <w:r w:rsidR="00363FA8">
              <w:rPr>
                <w:rFonts w:ascii="Times New Roman" w:hint="eastAsia"/>
                <w:kern w:val="0"/>
                <w:sz w:val="24"/>
              </w:rPr>
              <w:t>声明单位</w:t>
            </w:r>
            <w:r>
              <w:rPr>
                <w:rFonts w:ascii="Times New Roman" w:hint="eastAsia"/>
                <w:kern w:val="0"/>
                <w:sz w:val="24"/>
              </w:rPr>
              <w:t>中</w:t>
            </w:r>
            <w:r w:rsidR="00202DC4" w:rsidRPr="00202DC4">
              <w:rPr>
                <w:rFonts w:ascii="Times New Roman" w:hint="eastAsia"/>
                <w:kern w:val="0"/>
                <w:sz w:val="24"/>
              </w:rPr>
              <w:t>第</w:t>
            </w:r>
            <w:r w:rsidR="00202DC4">
              <w:rPr>
                <w:rFonts w:ascii="Times New Roman" w:hint="eastAsia"/>
                <w:i/>
                <w:iCs/>
                <w:kern w:val="0"/>
                <w:sz w:val="24"/>
              </w:rPr>
              <w:t xml:space="preserve"> k </w:t>
            </w:r>
            <w:r w:rsidR="00202DC4" w:rsidRPr="00202DC4">
              <w:rPr>
                <w:rFonts w:ascii="Times New Roman" w:hint="eastAsia"/>
                <w:kern w:val="0"/>
                <w:sz w:val="24"/>
              </w:rPr>
              <w:t>项中间流的</w:t>
            </w:r>
            <w:r w:rsidR="00927368">
              <w:rPr>
                <w:rFonts w:ascii="Times New Roman" w:hint="eastAsia"/>
                <w:kern w:val="0"/>
                <w:sz w:val="24"/>
              </w:rPr>
              <w:t>活动数据</w:t>
            </w:r>
            <w:r w:rsidR="00202DC4" w:rsidRPr="00202DC4">
              <w:rPr>
                <w:rFonts w:ascii="Times New Roman" w:hint="eastAsia"/>
                <w:kern w:val="0"/>
                <w:sz w:val="24"/>
              </w:rPr>
              <w:t>，包括原辅料、能源、废弃物及相关运输等，单位根据实际情况确定；</w:t>
            </w:r>
          </w:p>
        </w:tc>
      </w:tr>
      <w:tr w:rsidR="00202DC4" w:rsidRPr="00202DC4" w14:paraId="7780DF58" w14:textId="77777777" w:rsidTr="00DD3329">
        <w:trPr>
          <w:trHeight w:val="283"/>
        </w:trPr>
        <w:tc>
          <w:tcPr>
            <w:tcW w:w="1220" w:type="dxa"/>
          </w:tcPr>
          <w:p w14:paraId="6798FAA2" w14:textId="77777777" w:rsidR="00202DC4" w:rsidRPr="00202DC4" w:rsidRDefault="00202DC4" w:rsidP="00202DC4">
            <w:pPr>
              <w:widowControl/>
              <w:autoSpaceDE w:val="0"/>
              <w:autoSpaceDN w:val="0"/>
              <w:adjustRightInd w:val="0"/>
              <w:snapToGrid w:val="0"/>
              <w:spacing w:line="360" w:lineRule="auto"/>
              <w:ind w:firstLineChars="200" w:firstLine="480"/>
              <w:jc w:val="right"/>
              <w:rPr>
                <w:kern w:val="0"/>
                <w:sz w:val="24"/>
              </w:rPr>
            </w:pPr>
            <w:r w:rsidRPr="00202DC4">
              <w:rPr>
                <w:rFonts w:ascii="Times New Roman" w:hAnsi="Times New Roman"/>
                <w:kern w:val="0"/>
                <w:position w:val="-10"/>
                <w:sz w:val="24"/>
              </w:rPr>
              <w:object w:dxaOrig="499" w:dyaOrig="320" w14:anchorId="479FBC21">
                <v:shape id="_x0000_i1035" type="#_x0000_t75" style="width:25.25pt;height:15.05pt" o:ole="">
                  <v:imagedata r:id="rId31" o:title=""/>
                </v:shape>
                <o:OLEObject Type="Embed" ProgID="Equation.DSMT4" ShapeID="_x0000_i1035" DrawAspect="Content" ObjectID="_1819541947" r:id="rId32"/>
              </w:object>
            </w:r>
          </w:p>
        </w:tc>
        <w:tc>
          <w:tcPr>
            <w:tcW w:w="523" w:type="dxa"/>
          </w:tcPr>
          <w:p w14:paraId="72D3F682" w14:textId="77777777" w:rsidR="00202DC4" w:rsidRPr="00202DC4" w:rsidRDefault="00202DC4" w:rsidP="00202DC4">
            <w:pPr>
              <w:widowControl/>
              <w:autoSpaceDE w:val="0"/>
              <w:autoSpaceDN w:val="0"/>
              <w:snapToGrid w:val="0"/>
              <w:spacing w:line="360" w:lineRule="auto"/>
              <w:rPr>
                <w:rFonts w:ascii="Times New Roman" w:hAnsi="Times New Roman"/>
                <w:kern w:val="0"/>
                <w:sz w:val="24"/>
              </w:rPr>
            </w:pPr>
            <w:r w:rsidRPr="00202DC4">
              <w:rPr>
                <w:rFonts w:ascii="Times New Roman" w:hAnsi="Times New Roman"/>
                <w:kern w:val="0"/>
                <w:sz w:val="24"/>
              </w:rPr>
              <w:t>——</w:t>
            </w:r>
          </w:p>
        </w:tc>
        <w:tc>
          <w:tcPr>
            <w:tcW w:w="6762" w:type="dxa"/>
          </w:tcPr>
          <w:p w14:paraId="48A4DB60" w14:textId="66B76601" w:rsidR="00202DC4" w:rsidRPr="00202DC4" w:rsidRDefault="00202DC4" w:rsidP="00202DC4">
            <w:pPr>
              <w:widowControl/>
              <w:autoSpaceDE w:val="0"/>
              <w:autoSpaceDN w:val="0"/>
              <w:snapToGrid w:val="0"/>
              <w:spacing w:line="360" w:lineRule="auto"/>
              <w:rPr>
                <w:rFonts w:ascii="Times New Roman"/>
                <w:kern w:val="0"/>
                <w:sz w:val="24"/>
              </w:rPr>
            </w:pPr>
            <w:r w:rsidRPr="00202DC4">
              <w:rPr>
                <w:rFonts w:ascii="Times New Roman" w:hint="eastAsia"/>
                <w:kern w:val="0"/>
                <w:sz w:val="24"/>
              </w:rPr>
              <w:t>第</w:t>
            </w:r>
            <w:r>
              <w:rPr>
                <w:rFonts w:ascii="Times New Roman" w:hint="eastAsia"/>
                <w:kern w:val="0"/>
                <w:sz w:val="24"/>
              </w:rPr>
              <w:t xml:space="preserve"> </w:t>
            </w:r>
            <w:r>
              <w:rPr>
                <w:rFonts w:ascii="Times New Roman" w:hint="eastAsia"/>
                <w:i/>
                <w:iCs/>
                <w:kern w:val="0"/>
                <w:sz w:val="24"/>
              </w:rPr>
              <w:t xml:space="preserve">k </w:t>
            </w:r>
            <w:r w:rsidRPr="00202DC4">
              <w:rPr>
                <w:rFonts w:ascii="Times New Roman" w:hint="eastAsia"/>
                <w:kern w:val="0"/>
                <w:sz w:val="24"/>
              </w:rPr>
              <w:t>项中间流的碳足迹因子，单位为千克二氧化碳当量</w:t>
            </w:r>
            <w:r w:rsidR="00D9492D">
              <w:rPr>
                <w:rFonts w:ascii="Times New Roman" w:hint="eastAsia"/>
                <w:kern w:val="0"/>
                <w:sz w:val="24"/>
              </w:rPr>
              <w:t>每</w:t>
            </w:r>
            <w:r w:rsidR="00927368">
              <w:rPr>
                <w:rFonts w:ascii="Times New Roman" w:hint="eastAsia"/>
                <w:kern w:val="0"/>
                <w:sz w:val="24"/>
              </w:rPr>
              <w:t>中间流产品</w:t>
            </w:r>
            <w:r w:rsidR="00363FA8">
              <w:rPr>
                <w:rFonts w:ascii="Times New Roman" w:hint="eastAsia"/>
                <w:kern w:val="0"/>
                <w:sz w:val="24"/>
              </w:rPr>
              <w:t>声明单位</w:t>
            </w:r>
            <w:r w:rsidRPr="00202DC4">
              <w:rPr>
                <w:rFonts w:ascii="Times New Roman" w:hint="eastAsia"/>
                <w:kern w:val="0"/>
                <w:sz w:val="24"/>
              </w:rPr>
              <w:t>（</w:t>
            </w:r>
            <w:r w:rsidRPr="00202DC4">
              <w:rPr>
                <w:rFonts w:ascii="Times New Roman"/>
                <w:kern w:val="0"/>
                <w:sz w:val="24"/>
              </w:rPr>
              <w:t>kgCO</w:t>
            </w:r>
            <w:r w:rsidRPr="00202DC4">
              <w:rPr>
                <w:rFonts w:ascii="Times New Roman"/>
                <w:kern w:val="0"/>
                <w:sz w:val="24"/>
                <w:vertAlign w:val="subscript"/>
              </w:rPr>
              <w:t>2</w:t>
            </w:r>
            <w:r w:rsidRPr="00202DC4">
              <w:rPr>
                <w:rFonts w:ascii="Times New Roman"/>
                <w:kern w:val="0"/>
                <w:sz w:val="24"/>
              </w:rPr>
              <w:t>e</w:t>
            </w:r>
            <w:r w:rsidR="00D9492D">
              <w:rPr>
                <w:rFonts w:ascii="Times New Roman" w:hint="eastAsia"/>
                <w:kern w:val="0"/>
                <w:sz w:val="24"/>
              </w:rPr>
              <w:t>/</w:t>
            </w:r>
            <w:r w:rsidR="00927368">
              <w:rPr>
                <w:rFonts w:ascii="Times New Roman" w:hint="eastAsia"/>
                <w:kern w:val="0"/>
                <w:sz w:val="24"/>
              </w:rPr>
              <w:t>中间流产品</w:t>
            </w:r>
            <w:r w:rsidR="00363FA8">
              <w:rPr>
                <w:rFonts w:ascii="Times New Roman" w:hint="eastAsia"/>
                <w:kern w:val="0"/>
                <w:sz w:val="24"/>
              </w:rPr>
              <w:t>声明单位</w:t>
            </w:r>
            <w:r w:rsidRPr="00202DC4">
              <w:rPr>
                <w:rFonts w:ascii="Times New Roman" w:hint="eastAsia"/>
                <w:kern w:val="0"/>
                <w:sz w:val="24"/>
              </w:rPr>
              <w:t>）。</w:t>
            </w:r>
          </w:p>
        </w:tc>
      </w:tr>
    </w:tbl>
    <w:p w14:paraId="07BC7B10" w14:textId="39D14581" w:rsidR="00927368" w:rsidRDefault="00927368" w:rsidP="00DD3329">
      <w:pPr>
        <w:autoSpaceDE w:val="0"/>
        <w:autoSpaceDN w:val="0"/>
        <w:adjustRightInd w:val="0"/>
        <w:spacing w:line="360" w:lineRule="auto"/>
        <w:ind w:firstLineChars="200" w:firstLine="480"/>
        <w:rPr>
          <w:kern w:val="0"/>
          <w:sz w:val="24"/>
        </w:rPr>
      </w:pPr>
      <w:bookmarkStart w:id="14" w:name="_Hlk208825675"/>
      <w:r>
        <w:rPr>
          <w:rFonts w:hint="eastAsia"/>
          <w:kern w:val="0"/>
          <w:sz w:val="24"/>
        </w:rPr>
        <w:lastRenderedPageBreak/>
        <w:t>依据国家标准</w:t>
      </w:r>
      <w:r>
        <w:rPr>
          <w:rFonts w:hint="eastAsia"/>
          <w:kern w:val="0"/>
          <w:sz w:val="24"/>
        </w:rPr>
        <w:t>GB/T 32150</w:t>
      </w:r>
      <w:r>
        <w:rPr>
          <w:rFonts w:hint="eastAsia"/>
          <w:kern w:val="0"/>
          <w:sz w:val="24"/>
        </w:rPr>
        <w:t>《</w:t>
      </w:r>
      <w:r w:rsidRPr="00927368">
        <w:rPr>
          <w:rFonts w:hint="eastAsia"/>
          <w:kern w:val="0"/>
          <w:sz w:val="24"/>
        </w:rPr>
        <w:t>工业企业温室气体排放核算和报告通则</w:t>
      </w:r>
      <w:r>
        <w:rPr>
          <w:rFonts w:hint="eastAsia"/>
          <w:kern w:val="0"/>
          <w:sz w:val="24"/>
        </w:rPr>
        <w:t>》，“活动数据”定义为“导致温室气体排放的生产或消费活动量的表征值，如各种化石燃料的消耗量、原材料的使用量、购入的电量、购入的热量等”</w:t>
      </w:r>
      <w:r w:rsidR="00486C1A">
        <w:rPr>
          <w:rFonts w:hint="eastAsia"/>
          <w:kern w:val="0"/>
          <w:sz w:val="24"/>
        </w:rPr>
        <w:t>，</w:t>
      </w:r>
      <w:r w:rsidR="00D23B06">
        <w:rPr>
          <w:rFonts w:hint="eastAsia"/>
          <w:kern w:val="0"/>
          <w:sz w:val="24"/>
        </w:rPr>
        <w:t>产品碳足迹计算公式中的</w:t>
      </w:r>
      <w:r w:rsidR="00D23B06" w:rsidRPr="00202DC4">
        <w:rPr>
          <w:kern w:val="0"/>
          <w:position w:val="-12"/>
          <w:sz w:val="24"/>
        </w:rPr>
        <w:object w:dxaOrig="400" w:dyaOrig="360" w14:anchorId="33977B7C">
          <v:shape id="_x0000_i1036" type="#_x0000_t75" style="width:20.4pt;height:18.8pt" o:ole="">
            <v:imagedata r:id="rId23" o:title=""/>
          </v:shape>
          <o:OLEObject Type="Embed" ProgID="Equation.DSMT4" ShapeID="_x0000_i1036" DrawAspect="Content" ObjectID="_1819541948" r:id="rId33"/>
        </w:object>
      </w:r>
      <w:r w:rsidR="00D23B06">
        <w:rPr>
          <w:rFonts w:hint="eastAsia"/>
          <w:kern w:val="0"/>
          <w:sz w:val="24"/>
        </w:rPr>
        <w:t>和</w:t>
      </w:r>
      <w:r w:rsidR="00D23B06" w:rsidRPr="00202DC4">
        <w:rPr>
          <w:kern w:val="0"/>
          <w:position w:val="-10"/>
          <w:sz w:val="24"/>
        </w:rPr>
        <w:object w:dxaOrig="340" w:dyaOrig="320" w14:anchorId="04D7578B">
          <v:shape id="_x0000_i1037" type="#_x0000_t75" style="width:20.4pt;height:17.2pt" o:ole="">
            <v:imagedata r:id="rId29" o:title=""/>
          </v:shape>
          <o:OLEObject Type="Embed" ProgID="Equation.DSMT4" ShapeID="_x0000_i1037" DrawAspect="Content" ObjectID="_1819541949" r:id="rId34"/>
        </w:object>
      </w:r>
      <w:r w:rsidR="00D23B06">
        <w:rPr>
          <w:rFonts w:hint="eastAsia"/>
          <w:kern w:val="0"/>
          <w:sz w:val="24"/>
        </w:rPr>
        <w:t>本质上均为活动数据，且有</w:t>
      </w:r>
      <w:r w:rsidR="00BB6B8C">
        <w:rPr>
          <w:rFonts w:hint="eastAsia"/>
          <w:kern w:val="0"/>
          <w:sz w:val="24"/>
        </w:rPr>
        <w:t>含义和数值相同</w:t>
      </w:r>
      <w:r w:rsidR="00D23B06">
        <w:rPr>
          <w:rFonts w:hint="eastAsia"/>
          <w:kern w:val="0"/>
          <w:sz w:val="24"/>
        </w:rPr>
        <w:t>的可能。例如，</w:t>
      </w:r>
      <w:r w:rsidR="00F5250F">
        <w:rPr>
          <w:rFonts w:hint="eastAsia"/>
          <w:kern w:val="0"/>
          <w:sz w:val="24"/>
        </w:rPr>
        <w:t>一定量</w:t>
      </w:r>
      <w:r w:rsidR="00D23B06">
        <w:rPr>
          <w:rFonts w:hint="eastAsia"/>
          <w:kern w:val="0"/>
          <w:sz w:val="24"/>
        </w:rPr>
        <w:t>产品</w:t>
      </w:r>
      <w:r w:rsidR="00F5250F">
        <w:rPr>
          <w:rFonts w:hint="eastAsia"/>
          <w:kern w:val="0"/>
          <w:sz w:val="24"/>
        </w:rPr>
        <w:t>在</w:t>
      </w:r>
      <w:r w:rsidR="00D23B06">
        <w:rPr>
          <w:rFonts w:hint="eastAsia"/>
          <w:kern w:val="0"/>
          <w:sz w:val="24"/>
        </w:rPr>
        <w:t>生产过程</w:t>
      </w:r>
      <w:r w:rsidR="0082795A">
        <w:rPr>
          <w:rFonts w:hint="eastAsia"/>
          <w:kern w:val="0"/>
          <w:sz w:val="24"/>
        </w:rPr>
        <w:t>燃烧</w:t>
      </w:r>
      <w:r w:rsidR="00A602D4">
        <w:rPr>
          <w:rFonts w:hint="eastAsia"/>
          <w:kern w:val="0"/>
          <w:sz w:val="24"/>
        </w:rPr>
        <w:t>烟</w:t>
      </w:r>
      <w:r w:rsidR="00D23B06">
        <w:rPr>
          <w:rFonts w:hint="eastAsia"/>
          <w:kern w:val="0"/>
          <w:sz w:val="24"/>
        </w:rPr>
        <w:t>煤供热，一方面，</w:t>
      </w:r>
      <w:r w:rsidR="00A602D4">
        <w:rPr>
          <w:rFonts w:hint="eastAsia"/>
          <w:kern w:val="0"/>
          <w:sz w:val="24"/>
        </w:rPr>
        <w:t>烟</w:t>
      </w:r>
      <w:r w:rsidR="00D23B06">
        <w:rPr>
          <w:rFonts w:hint="eastAsia"/>
          <w:kern w:val="0"/>
          <w:sz w:val="24"/>
        </w:rPr>
        <w:t>煤作为</w:t>
      </w:r>
      <w:r w:rsidR="0082795A">
        <w:rPr>
          <w:rFonts w:hint="eastAsia"/>
          <w:kern w:val="0"/>
          <w:sz w:val="24"/>
        </w:rPr>
        <w:t>外购</w:t>
      </w:r>
      <w:r w:rsidR="00D23B06">
        <w:rPr>
          <w:rFonts w:hint="eastAsia"/>
          <w:kern w:val="0"/>
          <w:sz w:val="24"/>
        </w:rPr>
        <w:t>能源属于中间流，其自身生产产生的排放作为</w:t>
      </w:r>
      <w:r w:rsidR="00D23B06">
        <w:rPr>
          <w:rFonts w:hint="eastAsia"/>
          <w:kern w:val="0"/>
          <w:sz w:val="24"/>
        </w:rPr>
        <w:t>GHG</w:t>
      </w:r>
      <w:r w:rsidR="00D23B06">
        <w:rPr>
          <w:rFonts w:hint="eastAsia"/>
          <w:kern w:val="0"/>
          <w:sz w:val="24"/>
        </w:rPr>
        <w:t>间接排放</w:t>
      </w:r>
      <w:r w:rsidR="00A602D4">
        <w:rPr>
          <w:rFonts w:hint="eastAsia"/>
          <w:kern w:val="0"/>
          <w:sz w:val="24"/>
        </w:rPr>
        <w:t>进入当前产品系统，</w:t>
      </w:r>
      <w:r w:rsidR="0082795A">
        <w:rPr>
          <w:rFonts w:hint="eastAsia"/>
          <w:kern w:val="0"/>
          <w:sz w:val="24"/>
        </w:rPr>
        <w:t>该中间流的</w:t>
      </w:r>
      <w:r w:rsidR="00A602D4">
        <w:rPr>
          <w:rFonts w:hint="eastAsia"/>
          <w:kern w:val="0"/>
          <w:sz w:val="24"/>
        </w:rPr>
        <w:t>碳足迹</w:t>
      </w:r>
      <w:r w:rsidR="0082795A">
        <w:rPr>
          <w:rFonts w:hint="eastAsia"/>
          <w:kern w:val="0"/>
          <w:sz w:val="24"/>
        </w:rPr>
        <w:t>由</w:t>
      </w:r>
      <w:r w:rsidR="00A602D4">
        <w:rPr>
          <w:rFonts w:hint="eastAsia"/>
          <w:kern w:val="0"/>
          <w:sz w:val="24"/>
        </w:rPr>
        <w:t>烟煤消耗量</w:t>
      </w:r>
      <w:r w:rsidR="00A602D4" w:rsidRPr="00202DC4">
        <w:rPr>
          <w:kern w:val="0"/>
          <w:position w:val="-10"/>
          <w:sz w:val="24"/>
        </w:rPr>
        <w:object w:dxaOrig="340" w:dyaOrig="320" w14:anchorId="4B624F17">
          <v:shape id="_x0000_i1038" type="#_x0000_t75" style="width:20.4pt;height:17.2pt" o:ole="">
            <v:imagedata r:id="rId29" o:title=""/>
          </v:shape>
          <o:OLEObject Type="Embed" ProgID="Equation.DSMT4" ShapeID="_x0000_i1038" DrawAspect="Content" ObjectID="_1819541950" r:id="rId35"/>
        </w:object>
      </w:r>
      <w:r w:rsidR="00F5250F">
        <w:rPr>
          <w:rFonts w:hint="eastAsia"/>
          <w:kern w:val="0"/>
          <w:sz w:val="24"/>
        </w:rPr>
        <w:t>与烟煤生产过程的碳足迹因子相乘得到</w:t>
      </w:r>
      <w:r w:rsidR="00A602D4">
        <w:rPr>
          <w:rFonts w:hint="eastAsia"/>
          <w:kern w:val="0"/>
          <w:sz w:val="24"/>
        </w:rPr>
        <w:t>；另一方面，在当前产品生产过程中，烟煤燃烧供热</w:t>
      </w:r>
      <w:r w:rsidR="0082795A">
        <w:rPr>
          <w:rFonts w:hint="eastAsia"/>
          <w:kern w:val="0"/>
          <w:sz w:val="24"/>
        </w:rPr>
        <w:t>时产生的</w:t>
      </w:r>
      <w:r w:rsidR="00A602D4">
        <w:rPr>
          <w:rFonts w:hint="eastAsia"/>
          <w:kern w:val="0"/>
          <w:sz w:val="24"/>
        </w:rPr>
        <w:t>直接</w:t>
      </w:r>
      <w:r w:rsidR="00A602D4">
        <w:rPr>
          <w:rFonts w:hint="eastAsia"/>
          <w:kern w:val="0"/>
          <w:sz w:val="24"/>
        </w:rPr>
        <w:t>GHG</w:t>
      </w:r>
      <w:r w:rsidR="0082795A">
        <w:rPr>
          <w:rFonts w:hint="eastAsia"/>
          <w:kern w:val="0"/>
          <w:sz w:val="24"/>
        </w:rPr>
        <w:t>排放</w:t>
      </w:r>
      <w:r w:rsidR="00A602D4">
        <w:rPr>
          <w:rFonts w:hint="eastAsia"/>
          <w:kern w:val="0"/>
          <w:sz w:val="24"/>
        </w:rPr>
        <w:t>量</w:t>
      </w:r>
      <w:r w:rsidR="0082795A">
        <w:rPr>
          <w:rFonts w:hint="eastAsia"/>
          <w:kern w:val="0"/>
          <w:sz w:val="24"/>
        </w:rPr>
        <w:t>由</w:t>
      </w:r>
      <w:r w:rsidR="00A602D4">
        <w:rPr>
          <w:rFonts w:hint="eastAsia"/>
          <w:kern w:val="0"/>
          <w:sz w:val="24"/>
        </w:rPr>
        <w:t>烟煤燃烧量</w:t>
      </w:r>
      <w:r w:rsidR="00A602D4" w:rsidRPr="00202DC4">
        <w:rPr>
          <w:kern w:val="0"/>
          <w:position w:val="-12"/>
          <w:sz w:val="24"/>
        </w:rPr>
        <w:object w:dxaOrig="400" w:dyaOrig="360" w14:anchorId="52BF2A2D">
          <v:shape id="_x0000_i1039" type="#_x0000_t75" style="width:20.4pt;height:18.8pt" o:ole="">
            <v:imagedata r:id="rId23" o:title=""/>
          </v:shape>
          <o:OLEObject Type="Embed" ProgID="Equation.DSMT4" ShapeID="_x0000_i1039" DrawAspect="Content" ObjectID="_1819541951" r:id="rId36"/>
        </w:object>
      </w:r>
      <w:r w:rsidR="00F5250F">
        <w:rPr>
          <w:rFonts w:hint="eastAsia"/>
          <w:kern w:val="0"/>
          <w:sz w:val="24"/>
        </w:rPr>
        <w:t>与烟煤燃烧过程的温室气体排放因子相乘得到，</w:t>
      </w:r>
      <w:r w:rsidR="0082795A">
        <w:rPr>
          <w:rFonts w:hint="eastAsia"/>
          <w:kern w:val="0"/>
          <w:sz w:val="24"/>
        </w:rPr>
        <w:t>最终生产过程的碳足迹为</w:t>
      </w:r>
      <w:r w:rsidR="00F5250F">
        <w:rPr>
          <w:rFonts w:hint="eastAsia"/>
          <w:kern w:val="0"/>
          <w:sz w:val="24"/>
        </w:rPr>
        <w:t>GHG</w:t>
      </w:r>
      <w:r w:rsidR="00F5250F">
        <w:rPr>
          <w:rFonts w:hint="eastAsia"/>
          <w:kern w:val="0"/>
          <w:sz w:val="24"/>
        </w:rPr>
        <w:t>排放量</w:t>
      </w:r>
      <w:r w:rsidR="0082795A">
        <w:rPr>
          <w:rFonts w:hint="eastAsia"/>
          <w:kern w:val="0"/>
          <w:sz w:val="24"/>
        </w:rPr>
        <w:t>与各自</w:t>
      </w:r>
      <w:r w:rsidR="00F5250F">
        <w:rPr>
          <w:rFonts w:hint="eastAsia"/>
          <w:kern w:val="0"/>
          <w:sz w:val="24"/>
        </w:rPr>
        <w:t>GWP</w:t>
      </w:r>
      <w:r w:rsidR="0082795A">
        <w:rPr>
          <w:rFonts w:hint="eastAsia"/>
          <w:kern w:val="0"/>
          <w:sz w:val="24"/>
        </w:rPr>
        <w:t>的乘积</w:t>
      </w:r>
      <w:r w:rsidR="00A602D4">
        <w:rPr>
          <w:rFonts w:hint="eastAsia"/>
          <w:kern w:val="0"/>
          <w:sz w:val="24"/>
        </w:rPr>
        <w:t>。</w:t>
      </w:r>
      <w:r w:rsidR="00BB6B8C">
        <w:rPr>
          <w:rFonts w:hint="eastAsia"/>
          <w:kern w:val="0"/>
          <w:sz w:val="24"/>
        </w:rPr>
        <w:t>在上述例子中，</w:t>
      </w:r>
      <w:r w:rsidR="00BB6B8C" w:rsidRPr="00202DC4">
        <w:rPr>
          <w:kern w:val="0"/>
          <w:position w:val="-10"/>
          <w:sz w:val="24"/>
        </w:rPr>
        <w:object w:dxaOrig="340" w:dyaOrig="320" w14:anchorId="0122BB7E">
          <v:shape id="_x0000_i1040" type="#_x0000_t75" style="width:20.4pt;height:17.2pt" o:ole="">
            <v:imagedata r:id="rId29" o:title=""/>
          </v:shape>
          <o:OLEObject Type="Embed" ProgID="Equation.DSMT4" ShapeID="_x0000_i1040" DrawAspect="Content" ObjectID="_1819541952" r:id="rId37"/>
        </w:object>
      </w:r>
      <w:r w:rsidR="00BB6B8C">
        <w:rPr>
          <w:rFonts w:hint="eastAsia"/>
          <w:kern w:val="0"/>
          <w:sz w:val="24"/>
        </w:rPr>
        <w:t>和</w:t>
      </w:r>
      <w:r w:rsidR="00BB6B8C" w:rsidRPr="00202DC4">
        <w:rPr>
          <w:kern w:val="0"/>
          <w:position w:val="-12"/>
          <w:sz w:val="24"/>
        </w:rPr>
        <w:object w:dxaOrig="400" w:dyaOrig="360" w14:anchorId="45550333">
          <v:shape id="_x0000_i1041" type="#_x0000_t75" style="width:20.4pt;height:18.8pt" o:ole="">
            <v:imagedata r:id="rId23" o:title=""/>
          </v:shape>
          <o:OLEObject Type="Embed" ProgID="Equation.DSMT4" ShapeID="_x0000_i1041" DrawAspect="Content" ObjectID="_1819541953" r:id="rId38"/>
        </w:object>
      </w:r>
      <w:r w:rsidR="00BB6B8C">
        <w:rPr>
          <w:rFonts w:hint="eastAsia"/>
          <w:kern w:val="0"/>
          <w:sz w:val="24"/>
        </w:rPr>
        <w:t>均代表同一批产品消耗的</w:t>
      </w:r>
      <w:r w:rsidR="00BB6B8C">
        <w:rPr>
          <w:rFonts w:hint="eastAsia"/>
          <w:kern w:val="0"/>
          <w:sz w:val="24"/>
        </w:rPr>
        <w:t>烟煤量</w:t>
      </w:r>
      <w:r w:rsidR="00BB6B8C">
        <w:rPr>
          <w:rFonts w:hint="eastAsia"/>
          <w:kern w:val="0"/>
          <w:sz w:val="24"/>
        </w:rPr>
        <w:t>。</w:t>
      </w:r>
      <w:r w:rsidR="00A602D4">
        <w:rPr>
          <w:rFonts w:hint="eastAsia"/>
          <w:kern w:val="0"/>
          <w:sz w:val="24"/>
        </w:rPr>
        <w:t>因此，在使用当前公式计算产品碳足迹的过程中，可以通过</w:t>
      </w:r>
      <w:r w:rsidR="00A602D4">
        <w:rPr>
          <w:rFonts w:hint="eastAsia"/>
          <w:kern w:val="0"/>
          <w:sz w:val="24"/>
        </w:rPr>
        <w:t>GHG</w:t>
      </w:r>
      <w:r w:rsidR="00A602D4">
        <w:rPr>
          <w:rFonts w:hint="eastAsia"/>
          <w:kern w:val="0"/>
          <w:sz w:val="24"/>
        </w:rPr>
        <w:t>直接排放或间接排放来区分计算方法，选取合适的活动数据代入计算。</w:t>
      </w:r>
    </w:p>
    <w:bookmarkEnd w:id="14"/>
    <w:p w14:paraId="1679E6D2" w14:textId="4783B316" w:rsidR="0061361E" w:rsidRPr="0061361E" w:rsidRDefault="0061361E" w:rsidP="0061361E">
      <w:pPr>
        <w:pStyle w:val="3"/>
        <w:ind w:left="420"/>
        <w:rPr>
          <w:kern w:val="0"/>
        </w:rPr>
      </w:pPr>
      <w:r>
        <w:rPr>
          <w:rFonts w:hint="eastAsia"/>
          <w:kern w:val="0"/>
        </w:rPr>
        <w:t xml:space="preserve">3.7.2 </w:t>
      </w:r>
      <w:r w:rsidR="00C349BA" w:rsidRPr="00C349BA">
        <w:rPr>
          <w:rFonts w:hint="eastAsia"/>
          <w:kern w:val="0"/>
        </w:rPr>
        <w:t>回收再利用相关</w:t>
      </w:r>
      <w:r w:rsidR="00C349BA" w:rsidRPr="00C349BA">
        <w:rPr>
          <w:rFonts w:hint="eastAsia"/>
          <w:kern w:val="0"/>
        </w:rPr>
        <w:t>GHG</w:t>
      </w:r>
      <w:r w:rsidR="00C349BA" w:rsidRPr="00C349BA">
        <w:rPr>
          <w:rFonts w:hint="eastAsia"/>
          <w:kern w:val="0"/>
        </w:rPr>
        <w:t>排放计算方法</w:t>
      </w:r>
    </w:p>
    <w:p w14:paraId="777E91A8" w14:textId="6C9D67E5" w:rsidR="00DD3329" w:rsidRDefault="00DD3329" w:rsidP="00DD3329">
      <w:pPr>
        <w:autoSpaceDE w:val="0"/>
        <w:autoSpaceDN w:val="0"/>
        <w:adjustRightInd w:val="0"/>
        <w:spacing w:line="360" w:lineRule="auto"/>
        <w:ind w:firstLineChars="200" w:firstLine="480"/>
        <w:rPr>
          <w:kern w:val="0"/>
          <w:sz w:val="24"/>
        </w:rPr>
      </w:pPr>
      <w:r>
        <w:rPr>
          <w:rFonts w:hint="eastAsia"/>
          <w:kern w:val="0"/>
          <w:sz w:val="24"/>
        </w:rPr>
        <w:t>结合行业现状，再生铝的制造与使用既符合国家发展循环经济的要求，也能推动行业的低碳和绿色可持续发展。目前我国废旧铝质易拉罐的回收率已达到</w:t>
      </w:r>
      <w:r>
        <w:rPr>
          <w:rFonts w:hint="eastAsia"/>
          <w:kern w:val="0"/>
          <w:sz w:val="24"/>
        </w:rPr>
        <w:t>99%</w:t>
      </w:r>
      <w:r>
        <w:rPr>
          <w:rFonts w:hint="eastAsia"/>
          <w:kern w:val="0"/>
          <w:sz w:val="24"/>
        </w:rPr>
        <w:t>，同时行业内正积极推动食品铝质金属容器保级回收再生利用的规范化，进一步提高再生质量。在本标准的产品碳足迹系统边界内，虽不包含产品的最终废弃处置，但在产品生产过程中，无论是罐（瓶）身生产、罐（瓶）盖生产，还是组合加工的过程，均可能产生可回收的白铝废料或彩铝废料，将回收这部分材料带来的碳足迹抵扣纳入到碳足迹核算的边界内，可以调动行业企业参与回收利用和碳足迹评价的积极性，进一步提升企业在绿色发展中的主动性和责任感。</w:t>
      </w:r>
    </w:p>
    <w:p w14:paraId="34D324B0" w14:textId="657CA7CB" w:rsidR="00C956D6" w:rsidRDefault="00DD3329" w:rsidP="00DD3329">
      <w:pPr>
        <w:autoSpaceDE w:val="0"/>
        <w:autoSpaceDN w:val="0"/>
        <w:adjustRightInd w:val="0"/>
        <w:spacing w:line="360" w:lineRule="auto"/>
        <w:ind w:firstLineChars="200" w:firstLine="480"/>
        <w:rPr>
          <w:kern w:val="0"/>
          <w:sz w:val="24"/>
        </w:rPr>
      </w:pPr>
      <w:r>
        <w:rPr>
          <w:rFonts w:hint="eastAsia"/>
          <w:kern w:val="0"/>
          <w:sz w:val="24"/>
        </w:rPr>
        <w:t>参考国家标准</w:t>
      </w:r>
      <w:r>
        <w:rPr>
          <w:rFonts w:hint="eastAsia"/>
          <w:kern w:val="0"/>
          <w:sz w:val="24"/>
        </w:rPr>
        <w:t>GB/T 24067</w:t>
      </w:r>
      <w:r>
        <w:rPr>
          <w:rFonts w:hint="eastAsia"/>
          <w:kern w:val="0"/>
          <w:sz w:val="24"/>
        </w:rPr>
        <w:t>《温室气体</w:t>
      </w:r>
      <w:r>
        <w:rPr>
          <w:rFonts w:hint="eastAsia"/>
          <w:kern w:val="0"/>
          <w:sz w:val="24"/>
        </w:rPr>
        <w:t xml:space="preserve"> </w:t>
      </w:r>
      <w:r>
        <w:rPr>
          <w:rFonts w:hint="eastAsia"/>
          <w:kern w:val="0"/>
          <w:sz w:val="24"/>
        </w:rPr>
        <w:t>产品碳足迹</w:t>
      </w:r>
      <w:r>
        <w:rPr>
          <w:rFonts w:hint="eastAsia"/>
          <w:kern w:val="0"/>
          <w:sz w:val="24"/>
        </w:rPr>
        <w:t xml:space="preserve"> </w:t>
      </w:r>
      <w:r>
        <w:rPr>
          <w:rFonts w:hint="eastAsia"/>
          <w:kern w:val="0"/>
          <w:sz w:val="24"/>
        </w:rPr>
        <w:t>量化要求和指南》中附录</w:t>
      </w:r>
      <w:r>
        <w:rPr>
          <w:rFonts w:hint="eastAsia"/>
          <w:kern w:val="0"/>
          <w:sz w:val="24"/>
        </w:rPr>
        <w:t>D</w:t>
      </w:r>
      <w:r>
        <w:rPr>
          <w:rFonts w:hint="eastAsia"/>
          <w:kern w:val="0"/>
          <w:sz w:val="24"/>
        </w:rPr>
        <w:t>与回收处理相关的内容，将</w:t>
      </w:r>
      <w:bookmarkStart w:id="15" w:name="_Hlk205899853"/>
      <w:r>
        <w:rPr>
          <w:rFonts w:hint="eastAsia"/>
          <w:kern w:val="0"/>
          <w:sz w:val="24"/>
        </w:rPr>
        <w:t>可回收材料回收再生的碳足迹抵扣定义为回收碳信用额度</w:t>
      </w:r>
      <w:bookmarkEnd w:id="15"/>
      <m:oMath>
        <m:sSub>
          <m:sSubPr>
            <m:ctrlPr>
              <w:rPr>
                <w:rFonts w:ascii="Cambria Math" w:hAnsi="Cambria Math"/>
                <w:i/>
                <w:kern w:val="0"/>
                <w:sz w:val="24"/>
              </w:rPr>
            </m:ctrlPr>
          </m:sSubPr>
          <m:e>
            <m:r>
              <w:rPr>
                <w:rFonts w:ascii="Cambria Math" w:hAnsi="Cambria Math"/>
                <w:kern w:val="0"/>
                <w:sz w:val="24"/>
              </w:rPr>
              <m:t>E</m:t>
            </m:r>
          </m:e>
          <m:sub>
            <m:r>
              <w:rPr>
                <w:rFonts w:ascii="Cambria Math" w:hAnsi="Cambria Math"/>
                <w:kern w:val="0"/>
                <w:sz w:val="24"/>
              </w:rPr>
              <m:t>R</m:t>
            </m:r>
          </m:sub>
        </m:sSub>
      </m:oMath>
      <w:r w:rsidR="00EE473A">
        <w:rPr>
          <w:rFonts w:hint="eastAsia"/>
          <w:kern w:val="0"/>
          <w:sz w:val="24"/>
        </w:rPr>
        <w:t>：</w:t>
      </w:r>
    </w:p>
    <w:p w14:paraId="1653D2DC" w14:textId="77777777" w:rsidR="00DD3329" w:rsidRDefault="00DD3329" w:rsidP="00DD3329">
      <w:pPr>
        <w:pStyle w:val="MTDisplayEquation"/>
      </w:pPr>
      <w:r>
        <w:tab/>
      </w:r>
      <w:bookmarkStart w:id="16" w:name="_Hlk208928795"/>
      <m:oMath>
        <m:sSub>
          <m:sSubPr>
            <m:ctrlPr>
              <w:rPr>
                <w:rFonts w:ascii="Cambria Math" w:hAnsi="Cambria Math"/>
                <w:i/>
              </w:rPr>
            </m:ctrlPr>
          </m:sSubPr>
          <m:e>
            <m:r>
              <w:rPr>
                <w:rFonts w:ascii="Cambria Math"/>
              </w:rPr>
              <m:t>E</m:t>
            </m:r>
          </m:e>
          <m:sub>
            <m:r>
              <w:rPr>
                <w:rFonts w:ascii="Cambria Math"/>
              </w:rPr>
              <m:t>R</m:t>
            </m:r>
          </m:sub>
        </m:sSub>
        <w:bookmarkEnd w:id="16"/>
        <m:r>
          <w:rPr>
            <w:rFonts w:ascii="Cambria Math"/>
          </w:rPr>
          <m:t>=</m:t>
        </m:r>
        <m:sSub>
          <m:sSubPr>
            <m:ctrlPr>
              <w:rPr>
                <w:rFonts w:ascii="Cambria Math" w:hAnsi="Cambria Math"/>
                <w:i/>
              </w:rPr>
            </m:ctrlPr>
          </m:sSubPr>
          <m:e>
            <m:r>
              <w:rPr>
                <w:rFonts w:ascii="Cambria Math"/>
              </w:rPr>
              <m:t>Ε</m:t>
            </m:r>
          </m:e>
          <m:sub>
            <m:r>
              <w:rPr>
                <w:rFonts w:ascii="Cambria Math"/>
              </w:rPr>
              <m:t>v</m:t>
            </m:r>
          </m:sub>
        </m:sSub>
        <m:r>
          <w:rPr>
            <w:rFonts w:ascii="Cambria Math"/>
          </w:rPr>
          <m:t>×</m:t>
        </m:r>
        <m:r>
          <w:rPr>
            <w:rFonts w:ascii="Cambria Math"/>
          </w:rPr>
          <m:t>R</m:t>
        </m:r>
        <m:r>
          <w:rPr>
            <w:rFonts w:ascii="Cambria Math"/>
          </w:rPr>
          <m:t>×</m:t>
        </m:r>
        <m:r>
          <w:rPr>
            <w:rFonts w:ascii="Cambria Math"/>
          </w:rPr>
          <m:t>A</m:t>
        </m:r>
      </m:oMath>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fldSimple w:instr=" SEQ MTEqn \c \* Arabic \* MERGEFORMAT ">
        <w:r>
          <w:rPr>
            <w:noProof/>
          </w:rPr>
          <w:instrText>1</w:instrText>
        </w:r>
      </w:fldSimple>
      <w:r>
        <w:instrText>)</w:instrText>
      </w:r>
      <w:r>
        <w:fldChar w:fldCharType="end"/>
      </w:r>
    </w:p>
    <w:p w14:paraId="22689FD1" w14:textId="77777777" w:rsidR="00EE473A" w:rsidRDefault="00C956D6" w:rsidP="00EE473A">
      <w:pPr>
        <w:autoSpaceDE w:val="0"/>
        <w:autoSpaceDN w:val="0"/>
        <w:adjustRightInd w:val="0"/>
        <w:spacing w:line="360" w:lineRule="auto"/>
        <w:ind w:firstLineChars="200" w:firstLine="480"/>
        <w:rPr>
          <w:kern w:val="0"/>
          <w:sz w:val="24"/>
        </w:rPr>
      </w:pPr>
      <w:r>
        <w:rPr>
          <w:rFonts w:hint="eastAsia"/>
          <w:kern w:val="0"/>
          <w:sz w:val="24"/>
        </w:rPr>
        <w:t>公式（</w:t>
      </w:r>
      <w:r>
        <w:rPr>
          <w:rFonts w:hint="eastAsia"/>
          <w:kern w:val="0"/>
          <w:sz w:val="24"/>
        </w:rPr>
        <w:t>1</w:t>
      </w:r>
      <w:r>
        <w:rPr>
          <w:rFonts w:hint="eastAsia"/>
          <w:kern w:val="0"/>
          <w:sz w:val="24"/>
        </w:rPr>
        <w:t>）中</w:t>
      </w:r>
      <m:oMath>
        <m:sSub>
          <m:sSubPr>
            <m:ctrlPr>
              <w:rPr>
                <w:rFonts w:ascii="Cambria Math" w:hAnsi="Cambria Math"/>
                <w:i/>
                <w:kern w:val="0"/>
                <w:sz w:val="24"/>
              </w:rPr>
            </m:ctrlPr>
          </m:sSubPr>
          <m:e>
            <m:r>
              <w:rPr>
                <w:rFonts w:ascii="Cambria Math" w:hAnsi="Cambria Math"/>
                <w:kern w:val="0"/>
                <w:sz w:val="24"/>
              </w:rPr>
              <m:t>E</m:t>
            </m:r>
          </m:e>
          <m:sub>
            <m:r>
              <w:rPr>
                <w:rFonts w:ascii="Cambria Math" w:hAnsi="Cambria Math"/>
                <w:kern w:val="0"/>
                <w:sz w:val="24"/>
              </w:rPr>
              <m:t>v</m:t>
            </m:r>
          </m:sub>
        </m:sSub>
      </m:oMath>
      <w:r>
        <w:rPr>
          <w:rFonts w:hint="eastAsia"/>
          <w:kern w:val="0"/>
          <w:sz w:val="24"/>
        </w:rPr>
        <w:t>是开采或利用自然资源生产产品所需原材料产生的</w:t>
      </w:r>
      <w:r>
        <w:rPr>
          <w:rFonts w:hint="eastAsia"/>
          <w:kern w:val="0"/>
          <w:sz w:val="24"/>
        </w:rPr>
        <w:t>GHG</w:t>
      </w:r>
      <w:r>
        <w:rPr>
          <w:rFonts w:hint="eastAsia"/>
          <w:kern w:val="0"/>
          <w:sz w:val="24"/>
        </w:rPr>
        <w:t>排放量，以</w:t>
      </w:r>
      <w:r w:rsidRPr="00DE70FA">
        <w:rPr>
          <w:rFonts w:hint="eastAsia"/>
          <w:kern w:val="0"/>
          <w:sz w:val="24"/>
        </w:rPr>
        <w:t>千克二氧化碳当量（</w:t>
      </w:r>
      <w:r w:rsidRPr="00DE70FA">
        <w:rPr>
          <w:rFonts w:hint="eastAsia"/>
          <w:kern w:val="0"/>
          <w:sz w:val="24"/>
        </w:rPr>
        <w:t>kgCO</w:t>
      </w:r>
      <w:r w:rsidRPr="004B664A">
        <w:rPr>
          <w:kern w:val="0"/>
          <w:sz w:val="24"/>
          <w:vertAlign w:val="subscript"/>
        </w:rPr>
        <w:t>2</w:t>
      </w:r>
      <w:r w:rsidRPr="00DE70FA">
        <w:rPr>
          <w:rFonts w:hint="eastAsia"/>
          <w:kern w:val="0"/>
          <w:sz w:val="24"/>
        </w:rPr>
        <w:t>e</w:t>
      </w:r>
      <w:r w:rsidRPr="00DE70FA">
        <w:rPr>
          <w:rFonts w:hint="eastAsia"/>
          <w:kern w:val="0"/>
          <w:sz w:val="24"/>
        </w:rPr>
        <w:t>）计</w:t>
      </w:r>
      <w:r>
        <w:rPr>
          <w:rFonts w:hint="eastAsia"/>
          <w:kern w:val="0"/>
          <w:sz w:val="24"/>
        </w:rPr>
        <w:t>，该值应由上游原材料供应单位提供；</w:t>
      </w:r>
      <w:r>
        <w:rPr>
          <w:rFonts w:hint="eastAsia"/>
          <w:kern w:val="0"/>
          <w:sz w:val="24"/>
        </w:rPr>
        <w:t>R</w:t>
      </w:r>
      <w:r>
        <w:rPr>
          <w:rFonts w:hint="eastAsia"/>
          <w:kern w:val="0"/>
          <w:sz w:val="24"/>
        </w:rPr>
        <w:lastRenderedPageBreak/>
        <w:t>是</w:t>
      </w:r>
      <w:r w:rsidRPr="00DE70FA">
        <w:rPr>
          <w:rFonts w:hint="eastAsia"/>
          <w:kern w:val="0"/>
          <w:sz w:val="24"/>
        </w:rPr>
        <w:t>可</w:t>
      </w:r>
      <w:r>
        <w:rPr>
          <w:rFonts w:hint="eastAsia"/>
          <w:kern w:val="0"/>
          <w:sz w:val="24"/>
        </w:rPr>
        <w:t>回收</w:t>
      </w:r>
      <w:r w:rsidRPr="00DE70FA">
        <w:rPr>
          <w:rFonts w:hint="eastAsia"/>
          <w:kern w:val="0"/>
          <w:sz w:val="24"/>
        </w:rPr>
        <w:t>材料的回收率，为</w:t>
      </w:r>
      <w:r>
        <w:rPr>
          <w:rFonts w:hint="eastAsia"/>
          <w:kern w:val="0"/>
          <w:sz w:val="24"/>
        </w:rPr>
        <w:t>回收材料的</w:t>
      </w:r>
      <w:r w:rsidRPr="00DE70FA">
        <w:rPr>
          <w:rFonts w:hint="eastAsia"/>
          <w:kern w:val="0"/>
          <w:sz w:val="24"/>
        </w:rPr>
        <w:t>量与总用料量的比值</w:t>
      </w:r>
      <w:r>
        <w:rPr>
          <w:rFonts w:hint="eastAsia"/>
          <w:kern w:val="0"/>
          <w:sz w:val="24"/>
        </w:rPr>
        <w:t>，</w:t>
      </w:r>
      <w:r w:rsidRPr="00261FA1">
        <w:rPr>
          <w:rFonts w:hint="eastAsia"/>
          <w:kern w:val="0"/>
          <w:sz w:val="24"/>
        </w:rPr>
        <w:t>以百分数（</w:t>
      </w:r>
      <w:r w:rsidRPr="00261FA1">
        <w:rPr>
          <w:rFonts w:hint="eastAsia"/>
          <w:kern w:val="0"/>
          <w:sz w:val="24"/>
        </w:rPr>
        <w:t>%</w:t>
      </w:r>
      <w:r w:rsidRPr="00261FA1">
        <w:rPr>
          <w:rFonts w:hint="eastAsia"/>
          <w:kern w:val="0"/>
          <w:sz w:val="24"/>
        </w:rPr>
        <w:t>）表示</w:t>
      </w:r>
      <w:r>
        <w:rPr>
          <w:rFonts w:hint="eastAsia"/>
          <w:kern w:val="0"/>
          <w:sz w:val="24"/>
        </w:rPr>
        <w:t>；</w:t>
      </w:r>
      <w:r>
        <w:rPr>
          <w:rFonts w:hint="eastAsia"/>
          <w:kern w:val="0"/>
          <w:sz w:val="24"/>
        </w:rPr>
        <w:t>A</w:t>
      </w:r>
      <w:r>
        <w:rPr>
          <w:rFonts w:hint="eastAsia"/>
          <w:kern w:val="0"/>
          <w:sz w:val="24"/>
        </w:rPr>
        <w:t>是</w:t>
      </w:r>
      <w:r w:rsidRPr="00DE70FA">
        <w:rPr>
          <w:rFonts w:hint="eastAsia"/>
          <w:kern w:val="0"/>
          <w:sz w:val="24"/>
        </w:rPr>
        <w:t>可回收材料在生产者与使用者之间的分配系数</w:t>
      </w:r>
      <w:r>
        <w:rPr>
          <w:rFonts w:hint="eastAsia"/>
          <w:kern w:val="0"/>
          <w:sz w:val="24"/>
        </w:rPr>
        <w:t>。</w:t>
      </w:r>
    </w:p>
    <w:p w14:paraId="1DD92044" w14:textId="58146B63" w:rsidR="00C956D6" w:rsidRDefault="00C956D6" w:rsidP="00EE473A">
      <w:pPr>
        <w:autoSpaceDE w:val="0"/>
        <w:autoSpaceDN w:val="0"/>
        <w:adjustRightInd w:val="0"/>
        <w:spacing w:line="360" w:lineRule="auto"/>
        <w:ind w:firstLineChars="200" w:firstLine="480"/>
        <w:rPr>
          <w:kern w:val="0"/>
          <w:sz w:val="24"/>
        </w:rPr>
      </w:pPr>
      <w:r w:rsidRPr="00DE70FA">
        <w:rPr>
          <w:rFonts w:hint="eastAsia"/>
          <w:kern w:val="0"/>
          <w:sz w:val="24"/>
        </w:rPr>
        <w:t>分配系数</w:t>
      </w:r>
      <w:r>
        <w:rPr>
          <w:rFonts w:hint="eastAsia"/>
          <w:kern w:val="0"/>
          <w:sz w:val="24"/>
        </w:rPr>
        <w:t>可按照以下顺序进行选择：</w:t>
      </w:r>
    </w:p>
    <w:p w14:paraId="2DB7811C" w14:textId="77777777" w:rsidR="00C956D6" w:rsidRPr="006B74E7" w:rsidRDefault="00C956D6" w:rsidP="00EE473A">
      <w:pPr>
        <w:adjustRightInd w:val="0"/>
        <w:snapToGrid w:val="0"/>
        <w:spacing w:line="360" w:lineRule="auto"/>
        <w:ind w:firstLineChars="200" w:firstLine="480"/>
        <w:rPr>
          <w:kern w:val="0"/>
          <w:sz w:val="24"/>
        </w:rPr>
      </w:pPr>
      <w:r w:rsidRPr="004074FF">
        <w:rPr>
          <w:kern w:val="0"/>
          <w:sz w:val="24"/>
        </w:rPr>
        <w:t>——</w:t>
      </w:r>
      <w:r w:rsidRPr="006B74E7">
        <w:rPr>
          <w:rFonts w:hint="eastAsia"/>
          <w:kern w:val="0"/>
          <w:sz w:val="24"/>
        </w:rPr>
        <w:t>物理属性（例如质量）；</w:t>
      </w:r>
    </w:p>
    <w:p w14:paraId="73E0CFAF" w14:textId="77777777" w:rsidR="00C956D6" w:rsidRPr="006B74E7" w:rsidRDefault="00C956D6" w:rsidP="00C956D6">
      <w:pPr>
        <w:adjustRightInd w:val="0"/>
        <w:snapToGrid w:val="0"/>
        <w:spacing w:line="360" w:lineRule="auto"/>
        <w:ind w:firstLineChars="200" w:firstLine="480"/>
        <w:rPr>
          <w:kern w:val="0"/>
          <w:sz w:val="24"/>
        </w:rPr>
      </w:pPr>
      <w:r w:rsidRPr="004074FF">
        <w:rPr>
          <w:kern w:val="0"/>
          <w:sz w:val="24"/>
        </w:rPr>
        <w:t>——</w:t>
      </w:r>
      <w:r w:rsidRPr="006B74E7">
        <w:rPr>
          <w:rFonts w:hint="eastAsia"/>
          <w:kern w:val="0"/>
          <w:sz w:val="24"/>
        </w:rPr>
        <w:t>再生利用材料的后续使用的次数；</w:t>
      </w:r>
    </w:p>
    <w:p w14:paraId="128C557A" w14:textId="77777777" w:rsidR="00C956D6" w:rsidRDefault="00C956D6" w:rsidP="00C956D6">
      <w:pPr>
        <w:adjustRightInd w:val="0"/>
        <w:snapToGrid w:val="0"/>
        <w:spacing w:line="360" w:lineRule="auto"/>
        <w:ind w:firstLineChars="200" w:firstLine="480"/>
        <w:rPr>
          <w:kern w:val="0"/>
          <w:sz w:val="24"/>
        </w:rPr>
      </w:pPr>
      <w:r w:rsidRPr="004074FF">
        <w:rPr>
          <w:kern w:val="0"/>
          <w:sz w:val="24"/>
        </w:rPr>
        <w:t>——</w:t>
      </w:r>
      <w:r w:rsidRPr="006B74E7">
        <w:rPr>
          <w:rFonts w:hint="eastAsia"/>
          <w:kern w:val="0"/>
          <w:sz w:val="24"/>
        </w:rPr>
        <w:t>如果上述分配标准既不可行也不适用，也可在不提供进一步证明的条件下，由前序产品和后续产品的相关方协商获得系数（如</w:t>
      </w:r>
      <w:r w:rsidRPr="006B74E7">
        <w:rPr>
          <w:rFonts w:hint="eastAsia"/>
          <w:kern w:val="0"/>
          <w:sz w:val="24"/>
        </w:rPr>
        <w:t>A=0.5</w:t>
      </w:r>
      <w:r w:rsidRPr="006B74E7">
        <w:rPr>
          <w:rFonts w:hint="eastAsia"/>
          <w:kern w:val="0"/>
          <w:sz w:val="24"/>
        </w:rPr>
        <w:t>）</w:t>
      </w:r>
      <w:r>
        <w:rPr>
          <w:rFonts w:hint="eastAsia"/>
          <w:kern w:val="0"/>
          <w:sz w:val="24"/>
        </w:rPr>
        <w:t>。</w:t>
      </w:r>
    </w:p>
    <w:p w14:paraId="2CB7E830" w14:textId="3A84BFA4" w:rsidR="00C956D6" w:rsidRPr="00DE70FA" w:rsidRDefault="00C956D6" w:rsidP="00C956D6">
      <w:pPr>
        <w:adjustRightInd w:val="0"/>
        <w:snapToGrid w:val="0"/>
        <w:spacing w:line="360" w:lineRule="auto"/>
        <w:ind w:firstLineChars="200" w:firstLine="480"/>
        <w:rPr>
          <w:kern w:val="0"/>
          <w:sz w:val="24"/>
        </w:rPr>
      </w:pPr>
      <w:r>
        <w:rPr>
          <w:rFonts w:hint="eastAsia"/>
          <w:kern w:val="0"/>
          <w:sz w:val="24"/>
        </w:rPr>
        <w:t>现有的研究中，每种分配方式均有使用，较多选择前序产品和后续产品平分碳减排效益和碳排放责任，即</w:t>
      </w:r>
      <w:r>
        <w:rPr>
          <w:rFonts w:hint="eastAsia"/>
          <w:kern w:val="0"/>
          <w:sz w:val="24"/>
        </w:rPr>
        <w:t>A=0.5</w:t>
      </w:r>
      <w:r>
        <w:rPr>
          <w:rFonts w:hint="eastAsia"/>
          <w:kern w:val="0"/>
          <w:sz w:val="24"/>
        </w:rPr>
        <w:t>。</w:t>
      </w:r>
    </w:p>
    <w:p w14:paraId="50973D6B" w14:textId="2EADD043" w:rsidR="00C956D6" w:rsidRDefault="00C956D6" w:rsidP="00C956D6">
      <w:pPr>
        <w:autoSpaceDE w:val="0"/>
        <w:autoSpaceDN w:val="0"/>
        <w:adjustRightInd w:val="0"/>
        <w:spacing w:line="360" w:lineRule="auto"/>
        <w:ind w:firstLineChars="200" w:firstLine="480"/>
        <w:rPr>
          <w:kern w:val="0"/>
          <w:sz w:val="24"/>
        </w:rPr>
      </w:pPr>
      <w:r>
        <w:rPr>
          <w:rFonts w:hint="eastAsia"/>
          <w:kern w:val="0"/>
          <w:sz w:val="24"/>
        </w:rPr>
        <w:t>回收碳信用额度用来</w:t>
      </w:r>
      <w:r w:rsidRPr="004074FF">
        <w:rPr>
          <w:rFonts w:hint="eastAsia"/>
          <w:kern w:val="0"/>
          <w:sz w:val="24"/>
        </w:rPr>
        <w:t>量化回收带来的减排效益，</w:t>
      </w:r>
      <w:r w:rsidR="00EE473A">
        <w:rPr>
          <w:rFonts w:hint="eastAsia"/>
          <w:kern w:val="0"/>
          <w:sz w:val="24"/>
        </w:rPr>
        <w:t>交付和使用</w:t>
      </w:r>
      <w:r w:rsidR="004C3EBF">
        <w:rPr>
          <w:rFonts w:hint="eastAsia"/>
          <w:kern w:val="0"/>
          <w:sz w:val="24"/>
        </w:rPr>
        <w:t>可</w:t>
      </w:r>
      <w:r w:rsidR="00EE473A">
        <w:rPr>
          <w:rFonts w:hint="eastAsia"/>
          <w:kern w:val="0"/>
          <w:sz w:val="24"/>
        </w:rPr>
        <w:t>回收材料的产品系统可以</w:t>
      </w:r>
      <w:bookmarkStart w:id="17" w:name="_Hlk207723740"/>
      <w:r w:rsidR="00EE473A">
        <w:rPr>
          <w:rFonts w:hint="eastAsia"/>
          <w:kern w:val="0"/>
          <w:sz w:val="24"/>
        </w:rPr>
        <w:t>根据回收率和分配</w:t>
      </w:r>
      <w:r w:rsidR="004C3EBF">
        <w:rPr>
          <w:rFonts w:hint="eastAsia"/>
          <w:kern w:val="0"/>
          <w:sz w:val="24"/>
        </w:rPr>
        <w:t>原则</w:t>
      </w:r>
      <w:r w:rsidR="00EE473A">
        <w:rPr>
          <w:rFonts w:hint="eastAsia"/>
          <w:kern w:val="0"/>
          <w:sz w:val="24"/>
        </w:rPr>
        <w:t>，从原材料获取和生命</w:t>
      </w:r>
      <w:r w:rsidR="004C3EBF">
        <w:rPr>
          <w:rFonts w:hint="eastAsia"/>
          <w:kern w:val="0"/>
          <w:sz w:val="24"/>
        </w:rPr>
        <w:t>末期处置相关的</w:t>
      </w:r>
      <w:r w:rsidR="004C3EBF">
        <w:rPr>
          <w:rFonts w:hint="eastAsia"/>
          <w:kern w:val="0"/>
          <w:sz w:val="24"/>
        </w:rPr>
        <w:t>GHG</w:t>
      </w:r>
      <w:r w:rsidR="004C3EBF">
        <w:rPr>
          <w:rFonts w:hint="eastAsia"/>
          <w:kern w:val="0"/>
          <w:sz w:val="24"/>
        </w:rPr>
        <w:t>排放量中扣除相应的回收碳信用额度</w:t>
      </w:r>
      <w:bookmarkEnd w:id="17"/>
      <w:r w:rsidR="0082795A">
        <w:rPr>
          <w:rFonts w:hint="eastAsia"/>
          <w:kern w:val="0"/>
          <w:sz w:val="24"/>
        </w:rPr>
        <w:t>（</w:t>
      </w:r>
      <m:oMath>
        <m:sSub>
          <m:sSubPr>
            <m:ctrlPr>
              <w:rPr>
                <w:rFonts w:ascii="Cambria Math" w:hAnsi="Cambria Math"/>
                <w:i/>
                <w:kern w:val="0"/>
                <w:sz w:val="24"/>
              </w:rPr>
            </m:ctrlPr>
          </m:sSubPr>
          <m:e>
            <m:r>
              <w:rPr>
                <w:rFonts w:ascii="Cambria Math" w:hAnsi="Cambria Math"/>
                <w:kern w:val="0"/>
                <w:sz w:val="24"/>
              </w:rPr>
              <m:t>E</m:t>
            </m:r>
          </m:e>
          <m:sub>
            <m:r>
              <w:rPr>
                <w:rFonts w:ascii="Cambria Math" w:hAnsi="Cambria Math"/>
                <w:kern w:val="0"/>
                <w:sz w:val="24"/>
              </w:rPr>
              <m:t>R</m:t>
            </m:r>
          </m:sub>
        </m:sSub>
      </m:oMath>
      <w:r w:rsidR="0082795A">
        <w:rPr>
          <w:rFonts w:hint="eastAsia"/>
          <w:kern w:val="0"/>
          <w:sz w:val="24"/>
        </w:rPr>
        <w:t>）</w:t>
      </w:r>
      <w:r w:rsidR="004C3EBF">
        <w:rPr>
          <w:rFonts w:hint="eastAsia"/>
          <w:kern w:val="0"/>
          <w:sz w:val="24"/>
        </w:rPr>
        <w:t>。</w:t>
      </w:r>
      <w:r w:rsidRPr="004074FF">
        <w:rPr>
          <w:rFonts w:hint="eastAsia"/>
          <w:kern w:val="0"/>
          <w:sz w:val="24"/>
        </w:rPr>
        <w:t>若回收率为</w:t>
      </w:r>
      <w:r w:rsidRPr="004074FF">
        <w:rPr>
          <w:rFonts w:hint="eastAsia"/>
          <w:kern w:val="0"/>
          <w:sz w:val="24"/>
        </w:rPr>
        <w:t>R</w:t>
      </w:r>
      <w:r w:rsidRPr="004074FF">
        <w:rPr>
          <w:rFonts w:hint="eastAsia"/>
          <w:kern w:val="0"/>
          <w:sz w:val="24"/>
        </w:rPr>
        <w:t>，则避免了</w:t>
      </w:r>
      <m:oMath>
        <m:r>
          <w:rPr>
            <w:rFonts w:ascii="Cambria Math" w:hAnsi="Cambria Math"/>
            <w:kern w:val="0"/>
            <w:sz w:val="24"/>
          </w:rPr>
          <m:t>R×</m:t>
        </m:r>
        <m:sSub>
          <m:sSubPr>
            <m:ctrlPr>
              <w:rPr>
                <w:rFonts w:ascii="Cambria Math" w:hAnsi="Cambria Math"/>
                <w:i/>
                <w:kern w:val="0"/>
                <w:sz w:val="24"/>
              </w:rPr>
            </m:ctrlPr>
          </m:sSubPr>
          <m:e>
            <m:r>
              <w:rPr>
                <w:rFonts w:ascii="Cambria Math" w:hAnsi="Cambria Math"/>
                <w:kern w:val="0"/>
                <w:sz w:val="24"/>
              </w:rPr>
              <m:t>E</m:t>
            </m:r>
          </m:e>
          <m:sub>
            <m:r>
              <w:rPr>
                <w:rFonts w:ascii="Cambria Math" w:hAnsi="Cambria Math" w:hint="eastAsia"/>
                <w:kern w:val="0"/>
                <w:sz w:val="24"/>
              </w:rPr>
              <m:t>v</m:t>
            </m:r>
          </m:sub>
        </m:sSub>
      </m:oMath>
      <w:r w:rsidRPr="004074FF">
        <w:rPr>
          <w:rFonts w:hint="eastAsia"/>
          <w:kern w:val="0"/>
          <w:sz w:val="24"/>
        </w:rPr>
        <w:t>的原生材料生产排放，</w:t>
      </w:r>
      <w:r>
        <w:rPr>
          <w:rFonts w:hint="eastAsia"/>
          <w:kern w:val="0"/>
          <w:sz w:val="24"/>
        </w:rPr>
        <w:t>回收和再利用是一个分配问题，因此</w:t>
      </w:r>
      <w:r w:rsidRPr="004074FF">
        <w:rPr>
          <w:rFonts w:hint="eastAsia"/>
          <w:kern w:val="0"/>
          <w:sz w:val="24"/>
        </w:rPr>
        <w:t>在这部分减排效益中，有</w:t>
      </w:r>
      <w:r w:rsidRPr="004074FF">
        <w:rPr>
          <w:rFonts w:hint="eastAsia"/>
          <w:kern w:val="0"/>
          <w:sz w:val="24"/>
        </w:rPr>
        <w:t>A</w:t>
      </w:r>
      <w:r w:rsidRPr="004074FF">
        <w:rPr>
          <w:rFonts w:hint="eastAsia"/>
          <w:kern w:val="0"/>
          <w:sz w:val="24"/>
        </w:rPr>
        <w:t>比例归功于当前产品系统，剩余</w:t>
      </w:r>
      <w:r>
        <w:rPr>
          <w:rFonts w:hint="eastAsia"/>
          <w:kern w:val="0"/>
          <w:sz w:val="24"/>
        </w:rPr>
        <w:t>（</w:t>
      </w:r>
      <w:r w:rsidRPr="004074FF">
        <w:rPr>
          <w:rFonts w:hint="eastAsia"/>
          <w:kern w:val="0"/>
          <w:sz w:val="24"/>
        </w:rPr>
        <w:t>1-A</w:t>
      </w:r>
      <w:r>
        <w:rPr>
          <w:rFonts w:hint="eastAsia"/>
          <w:kern w:val="0"/>
          <w:sz w:val="24"/>
        </w:rPr>
        <w:t>）</w:t>
      </w:r>
      <w:r w:rsidRPr="004074FF">
        <w:rPr>
          <w:rFonts w:hint="eastAsia"/>
          <w:kern w:val="0"/>
          <w:sz w:val="24"/>
        </w:rPr>
        <w:t>归功于</w:t>
      </w:r>
      <w:r>
        <w:rPr>
          <w:rFonts w:hint="eastAsia"/>
          <w:kern w:val="0"/>
          <w:sz w:val="24"/>
        </w:rPr>
        <w:t>使用可回收材料的</w:t>
      </w:r>
      <w:r w:rsidRPr="004074FF">
        <w:rPr>
          <w:rFonts w:hint="eastAsia"/>
          <w:kern w:val="0"/>
          <w:sz w:val="24"/>
        </w:rPr>
        <w:t>产品系统</w:t>
      </w:r>
      <w:r>
        <w:rPr>
          <w:rFonts w:hint="eastAsia"/>
          <w:kern w:val="0"/>
          <w:sz w:val="24"/>
        </w:rPr>
        <w:t>。</w:t>
      </w:r>
    </w:p>
    <w:p w14:paraId="1AB414FE" w14:textId="27653FF0" w:rsidR="00C638F0" w:rsidRDefault="00C638F0" w:rsidP="00C638F0">
      <w:pPr>
        <w:pStyle w:val="2"/>
      </w:pPr>
      <w:r>
        <w:rPr>
          <w:rFonts w:hint="eastAsia"/>
        </w:rPr>
        <w:t xml:space="preserve">3.8 </w:t>
      </w:r>
      <w:r w:rsidR="0061361E">
        <w:rPr>
          <w:rFonts w:hint="eastAsia"/>
        </w:rPr>
        <w:t>结果</w:t>
      </w:r>
      <w:r>
        <w:rPr>
          <w:rFonts w:hint="eastAsia"/>
        </w:rPr>
        <w:t>解释</w:t>
      </w:r>
    </w:p>
    <w:p w14:paraId="5F70D811" w14:textId="623B4D1A" w:rsidR="00C638F0" w:rsidRDefault="00C638F0" w:rsidP="00C638F0">
      <w:pPr>
        <w:spacing w:line="360" w:lineRule="auto"/>
        <w:ind w:firstLineChars="200" w:firstLine="480"/>
        <w:rPr>
          <w:kern w:val="0"/>
          <w:sz w:val="24"/>
        </w:rPr>
      </w:pPr>
      <w:r>
        <w:rPr>
          <w:rFonts w:hint="eastAsia"/>
          <w:kern w:val="0"/>
          <w:sz w:val="24"/>
        </w:rPr>
        <w:t>生命周期评价的结果解释，是根据规定的目的和范围的要求，对清单分析和影响评价的结果进行归纳，形成结论和建议的阶段。解释应根据研究的目的重点考虑</w:t>
      </w:r>
      <w:r w:rsidR="00363FA8">
        <w:rPr>
          <w:rFonts w:hint="eastAsia"/>
          <w:kern w:val="0"/>
          <w:sz w:val="24"/>
        </w:rPr>
        <w:t>声明单位</w:t>
      </w:r>
      <w:r>
        <w:rPr>
          <w:rFonts w:hint="eastAsia"/>
          <w:kern w:val="0"/>
          <w:sz w:val="24"/>
        </w:rPr>
        <w:t>和系统边界定义的适当性，以及数据质量评价和敏感性分析所识别出的局限性。</w:t>
      </w:r>
    </w:p>
    <w:p w14:paraId="729790B1" w14:textId="7BCEC35B" w:rsidR="00C638F0" w:rsidRDefault="00C638F0" w:rsidP="00C638F0">
      <w:pPr>
        <w:pStyle w:val="2"/>
      </w:pPr>
      <w:r>
        <w:rPr>
          <w:rFonts w:hint="eastAsia"/>
        </w:rPr>
        <w:t xml:space="preserve">3.9 </w:t>
      </w:r>
      <w:bookmarkStart w:id="18" w:name="_Hlk203147222"/>
      <w:r w:rsidR="001F4D60">
        <w:rPr>
          <w:rFonts w:hint="eastAsia"/>
        </w:rPr>
        <w:t>产品碳足迹</w:t>
      </w:r>
      <w:bookmarkEnd w:id="18"/>
      <w:r>
        <w:rPr>
          <w:rFonts w:hint="eastAsia"/>
        </w:rPr>
        <w:t>报告</w:t>
      </w:r>
    </w:p>
    <w:p w14:paraId="578E57C0" w14:textId="33928DF6" w:rsidR="001F4D60" w:rsidRPr="001F4D60" w:rsidRDefault="00C638F0" w:rsidP="0061361E">
      <w:pPr>
        <w:spacing w:line="360" w:lineRule="auto"/>
        <w:ind w:firstLineChars="200" w:firstLine="480"/>
        <w:rPr>
          <w:kern w:val="0"/>
          <w:sz w:val="24"/>
        </w:rPr>
      </w:pPr>
      <w:r>
        <w:rPr>
          <w:rFonts w:hint="eastAsia"/>
          <w:kern w:val="0"/>
          <w:sz w:val="24"/>
        </w:rPr>
        <w:t>产品碳足迹研究报告的目的是记录产品碳足迹的量化结果，并说明该报告符合本标准的规定。结合国家标准</w:t>
      </w:r>
      <w:r w:rsidRPr="000C0E56">
        <w:rPr>
          <w:rFonts w:hint="eastAsia"/>
          <w:kern w:val="0"/>
          <w:sz w:val="24"/>
        </w:rPr>
        <w:t>《温室气体</w:t>
      </w:r>
      <w:r w:rsidRPr="000C0E56">
        <w:rPr>
          <w:rFonts w:hint="eastAsia"/>
          <w:kern w:val="0"/>
          <w:sz w:val="24"/>
        </w:rPr>
        <w:t xml:space="preserve"> </w:t>
      </w:r>
      <w:r w:rsidRPr="000C0E56">
        <w:rPr>
          <w:rFonts w:hint="eastAsia"/>
          <w:kern w:val="0"/>
          <w:sz w:val="24"/>
        </w:rPr>
        <w:t>产品碳足迹</w:t>
      </w:r>
      <w:r w:rsidRPr="000C0E56">
        <w:rPr>
          <w:rFonts w:hint="eastAsia"/>
          <w:kern w:val="0"/>
          <w:sz w:val="24"/>
        </w:rPr>
        <w:t xml:space="preserve"> </w:t>
      </w:r>
      <w:r w:rsidRPr="000C0E56">
        <w:rPr>
          <w:rFonts w:hint="eastAsia"/>
          <w:kern w:val="0"/>
          <w:sz w:val="24"/>
        </w:rPr>
        <w:t>量化要求和指南》（</w:t>
      </w:r>
      <w:r w:rsidRPr="000C0E56">
        <w:rPr>
          <w:rFonts w:hint="eastAsia"/>
          <w:kern w:val="0"/>
          <w:sz w:val="24"/>
        </w:rPr>
        <w:t>GB/T 24067-2024</w:t>
      </w:r>
      <w:r w:rsidRPr="000C0E56">
        <w:rPr>
          <w:rFonts w:hint="eastAsia"/>
          <w:kern w:val="0"/>
          <w:sz w:val="24"/>
        </w:rPr>
        <w:t>）</w:t>
      </w:r>
      <w:r>
        <w:rPr>
          <w:rFonts w:hint="eastAsia"/>
          <w:kern w:val="0"/>
          <w:sz w:val="24"/>
        </w:rPr>
        <w:t>中对评价报告的规定，本标准列出评价报告的框架，可视具体情况在基础上进行修改和补充</w:t>
      </w:r>
      <w:r w:rsidR="001F4D60" w:rsidRPr="00EB1FE1">
        <w:rPr>
          <w:rFonts w:hint="eastAsia"/>
          <w:kern w:val="0"/>
          <w:sz w:val="24"/>
        </w:rPr>
        <w:t>。</w:t>
      </w:r>
    </w:p>
    <w:p w14:paraId="734C7E5A" w14:textId="77777777" w:rsidR="00DD666C" w:rsidRPr="005B76A0" w:rsidRDefault="00084B34" w:rsidP="00646FC3">
      <w:pPr>
        <w:pStyle w:val="1"/>
        <w:rPr>
          <w:rFonts w:hint="eastAsia"/>
        </w:rPr>
      </w:pPr>
      <w:bookmarkStart w:id="19" w:name="_Toc23770172"/>
      <w:r w:rsidRPr="005B76A0">
        <w:rPr>
          <w:rFonts w:hint="eastAsia"/>
        </w:rPr>
        <w:t>四、</w:t>
      </w:r>
      <w:r w:rsidRPr="005B76A0">
        <w:t>涉及专利情况</w:t>
      </w:r>
      <w:bookmarkEnd w:id="19"/>
    </w:p>
    <w:p w14:paraId="5898460B" w14:textId="77777777" w:rsidR="00DD666C" w:rsidRPr="005B76A0" w:rsidRDefault="00084B34">
      <w:pPr>
        <w:spacing w:line="440" w:lineRule="exact"/>
        <w:ind w:firstLine="480"/>
        <w:rPr>
          <w:sz w:val="24"/>
        </w:rPr>
      </w:pPr>
      <w:r w:rsidRPr="005B76A0">
        <w:rPr>
          <w:sz w:val="24"/>
        </w:rPr>
        <w:t>本标准不涉及专利</w:t>
      </w:r>
      <w:r w:rsidRPr="005B76A0">
        <w:rPr>
          <w:rFonts w:hint="eastAsia"/>
          <w:sz w:val="24"/>
        </w:rPr>
        <w:t>问题</w:t>
      </w:r>
      <w:r w:rsidRPr="005B76A0">
        <w:rPr>
          <w:sz w:val="24"/>
        </w:rPr>
        <w:t>。</w:t>
      </w:r>
    </w:p>
    <w:p w14:paraId="64C3FDDE" w14:textId="77777777" w:rsidR="00DD666C" w:rsidRPr="005B76A0" w:rsidRDefault="00084B34" w:rsidP="00646FC3">
      <w:pPr>
        <w:pStyle w:val="1"/>
        <w:rPr>
          <w:rFonts w:hint="eastAsia"/>
        </w:rPr>
      </w:pPr>
      <w:bookmarkStart w:id="20" w:name="_Toc23770173"/>
      <w:r w:rsidRPr="005B76A0">
        <w:rPr>
          <w:rFonts w:hint="eastAsia"/>
        </w:rPr>
        <w:lastRenderedPageBreak/>
        <w:t>五、预期达到的社会效益、对产业发展的作用等情况</w:t>
      </w:r>
      <w:bookmarkEnd w:id="20"/>
    </w:p>
    <w:p w14:paraId="792E9D5F" w14:textId="7F2E38F3" w:rsidR="00DD666C" w:rsidRDefault="00084B34" w:rsidP="008900F3">
      <w:pPr>
        <w:spacing w:line="440" w:lineRule="exact"/>
        <w:ind w:firstLine="480"/>
        <w:rPr>
          <w:sz w:val="24"/>
        </w:rPr>
      </w:pPr>
      <w:r w:rsidRPr="005B76A0">
        <w:rPr>
          <w:rFonts w:hint="eastAsia"/>
          <w:sz w:val="24"/>
        </w:rPr>
        <w:t>本标准实施后，将</w:t>
      </w:r>
      <w:r w:rsidR="000D25E7">
        <w:rPr>
          <w:rFonts w:hint="eastAsia"/>
          <w:sz w:val="24"/>
        </w:rPr>
        <w:t>为食品接触用金属容器</w:t>
      </w:r>
      <w:r w:rsidR="002F287F">
        <w:rPr>
          <w:rFonts w:hint="eastAsia"/>
          <w:sz w:val="24"/>
        </w:rPr>
        <w:t>行业提供统一、规范的碳足迹核算方法和标准体系，</w:t>
      </w:r>
      <w:r w:rsidR="000D25E7">
        <w:rPr>
          <w:rFonts w:hint="eastAsia"/>
          <w:sz w:val="24"/>
        </w:rPr>
        <w:t>明确产品碳足迹核算规范和方法，</w:t>
      </w:r>
      <w:r w:rsidR="002F287F">
        <w:rPr>
          <w:rFonts w:hint="eastAsia"/>
          <w:sz w:val="24"/>
        </w:rPr>
        <w:t>为领域的绿色发展和碳足迹管理提供科学依据和技术支持，</w:t>
      </w:r>
      <w:r w:rsidR="000D25E7">
        <w:rPr>
          <w:rFonts w:hint="eastAsia"/>
          <w:sz w:val="24"/>
        </w:rPr>
        <w:t>推动企业提升碳排放管控水平，提高生产和供应链的绿色透明度，促进资源的高效利用与循环经济的发展</w:t>
      </w:r>
      <w:r w:rsidRPr="005B76A0">
        <w:rPr>
          <w:rFonts w:hint="eastAsia"/>
          <w:sz w:val="24"/>
        </w:rPr>
        <w:t>。</w:t>
      </w:r>
      <w:r w:rsidR="000D25E7">
        <w:rPr>
          <w:rFonts w:hint="eastAsia"/>
          <w:sz w:val="24"/>
        </w:rPr>
        <w:t>标准的推广和应用还将促进产业链上下游的协同合作，推动相关企业向低碳、可持续方向转型，进一步提升食品接触用金属行业的绿色发展。</w:t>
      </w:r>
    </w:p>
    <w:p w14:paraId="732CD278" w14:textId="2FE6E905" w:rsidR="009F3D13" w:rsidRPr="005B76A0" w:rsidRDefault="009F3D13" w:rsidP="008900F3">
      <w:pPr>
        <w:spacing w:line="440" w:lineRule="exact"/>
        <w:ind w:firstLine="480"/>
        <w:rPr>
          <w:sz w:val="24"/>
        </w:rPr>
      </w:pPr>
      <w:r w:rsidRPr="009F3D13">
        <w:rPr>
          <w:rFonts w:hint="eastAsia"/>
          <w:sz w:val="24"/>
        </w:rPr>
        <w:t>应对贸易壁垒，提升我国外贸产品竞争力。建立我国金属制品领域自主的碳足迹管理体系并与国际标准接轨，企业可自愿委托国内或国际相关机构开展碳足迹核算认证，据实测算产品碳足迹，避免因方法差异或参数缺失损害企业利益，从而有效降低企业运营成本。</w:t>
      </w:r>
    </w:p>
    <w:p w14:paraId="0C583A1B" w14:textId="5609064C" w:rsidR="00DD666C" w:rsidRPr="005B76A0" w:rsidRDefault="00084B34" w:rsidP="00646FC3">
      <w:pPr>
        <w:pStyle w:val="1"/>
        <w:rPr>
          <w:rFonts w:hint="eastAsia"/>
        </w:rPr>
      </w:pPr>
      <w:bookmarkStart w:id="21" w:name="_Toc23770174"/>
      <w:r w:rsidRPr="005B76A0">
        <w:rPr>
          <w:rFonts w:hint="eastAsia"/>
        </w:rPr>
        <w:t>六、</w:t>
      </w:r>
      <w:bookmarkEnd w:id="21"/>
      <w:r w:rsidR="005F13AF" w:rsidRPr="005B76A0">
        <w:t>与国际、国外同类标准水平的对比情况</w:t>
      </w:r>
    </w:p>
    <w:p w14:paraId="2FB9C333" w14:textId="77777777" w:rsidR="00DD666C" w:rsidRPr="005B76A0" w:rsidRDefault="00084B34">
      <w:pPr>
        <w:widowControl/>
        <w:spacing w:line="440" w:lineRule="exact"/>
        <w:ind w:firstLineChars="200" w:firstLine="480"/>
        <w:rPr>
          <w:sz w:val="24"/>
        </w:rPr>
      </w:pPr>
      <w:r w:rsidRPr="005B76A0">
        <w:rPr>
          <w:rFonts w:hint="eastAsia"/>
          <w:sz w:val="24"/>
        </w:rPr>
        <w:t>本标准没有采用国际标准。</w:t>
      </w:r>
    </w:p>
    <w:p w14:paraId="04824782" w14:textId="12EF6D77" w:rsidR="00DD666C" w:rsidRPr="005B76A0" w:rsidRDefault="00084B34">
      <w:pPr>
        <w:widowControl/>
        <w:spacing w:line="440" w:lineRule="exact"/>
        <w:ind w:firstLineChars="200" w:firstLine="480"/>
        <w:rPr>
          <w:sz w:val="24"/>
        </w:rPr>
      </w:pPr>
      <w:r w:rsidRPr="005B76A0">
        <w:rPr>
          <w:rFonts w:hint="eastAsia"/>
          <w:sz w:val="24"/>
        </w:rPr>
        <w:t>本标准制</w:t>
      </w:r>
      <w:r w:rsidR="00B53F6B" w:rsidRPr="005B76A0">
        <w:rPr>
          <w:rFonts w:hint="eastAsia"/>
          <w:sz w:val="24"/>
        </w:rPr>
        <w:t>定</w:t>
      </w:r>
      <w:r w:rsidRPr="005B76A0">
        <w:rPr>
          <w:rFonts w:hint="eastAsia"/>
          <w:sz w:val="24"/>
        </w:rPr>
        <w:t>过程中未查到同类国际、国外标准。</w:t>
      </w:r>
    </w:p>
    <w:p w14:paraId="14FE00C0" w14:textId="1555005B" w:rsidR="00DD666C" w:rsidRPr="005B76A0" w:rsidRDefault="00084B34">
      <w:pPr>
        <w:widowControl/>
        <w:spacing w:line="440" w:lineRule="exact"/>
        <w:ind w:firstLineChars="200" w:firstLine="480"/>
        <w:rPr>
          <w:sz w:val="24"/>
        </w:rPr>
      </w:pPr>
      <w:r w:rsidRPr="005B76A0">
        <w:rPr>
          <w:rFonts w:hint="eastAsia"/>
          <w:sz w:val="24"/>
        </w:rPr>
        <w:t>本标准制</w:t>
      </w:r>
      <w:r w:rsidR="00B53F6B" w:rsidRPr="005B76A0">
        <w:rPr>
          <w:rFonts w:hint="eastAsia"/>
          <w:sz w:val="24"/>
        </w:rPr>
        <w:t>定</w:t>
      </w:r>
      <w:r w:rsidRPr="005B76A0">
        <w:rPr>
          <w:rFonts w:hint="eastAsia"/>
          <w:sz w:val="24"/>
        </w:rPr>
        <w:t>过程中未测试国外的样品。</w:t>
      </w:r>
    </w:p>
    <w:p w14:paraId="6F6F73E7" w14:textId="48E5D405" w:rsidR="00DD666C" w:rsidRPr="005B76A0" w:rsidRDefault="00084B34">
      <w:pPr>
        <w:widowControl/>
        <w:spacing w:line="440" w:lineRule="exact"/>
        <w:ind w:firstLineChars="200" w:firstLine="480"/>
        <w:rPr>
          <w:sz w:val="24"/>
        </w:rPr>
      </w:pPr>
      <w:r w:rsidRPr="005B76A0">
        <w:rPr>
          <w:rFonts w:hint="eastAsia"/>
          <w:sz w:val="24"/>
        </w:rPr>
        <w:t>本标准水平为国内</w:t>
      </w:r>
      <w:r w:rsidR="00000532">
        <w:rPr>
          <w:rFonts w:hint="eastAsia"/>
          <w:sz w:val="24"/>
        </w:rPr>
        <w:t>领先</w:t>
      </w:r>
      <w:r w:rsidRPr="005B76A0">
        <w:rPr>
          <w:rFonts w:hint="eastAsia"/>
          <w:sz w:val="24"/>
        </w:rPr>
        <w:t>水平。</w:t>
      </w:r>
    </w:p>
    <w:p w14:paraId="21BE60ED" w14:textId="2DD3841E" w:rsidR="00DD666C" w:rsidRPr="005B76A0" w:rsidRDefault="00084B34" w:rsidP="002225C9">
      <w:pPr>
        <w:pStyle w:val="af2"/>
        <w:spacing w:beforeLines="50" w:before="156" w:afterLines="50" w:after="156" w:line="440" w:lineRule="exact"/>
        <w:ind w:firstLine="0"/>
        <w:outlineLvl w:val="0"/>
        <w:rPr>
          <w:rFonts w:ascii="Times New Roman" w:eastAsia="宋体"/>
          <w:b/>
          <w:kern w:val="0"/>
          <w:sz w:val="24"/>
          <w:szCs w:val="24"/>
        </w:rPr>
      </w:pPr>
      <w:r w:rsidRPr="005B76A0">
        <w:rPr>
          <w:rFonts w:asciiTheme="majorEastAsia" w:eastAsia="宋体" w:hAnsiTheme="majorEastAsia" w:hint="eastAsia"/>
          <w:b/>
          <w:bCs/>
          <w:kern w:val="44"/>
          <w:szCs w:val="44"/>
        </w:rPr>
        <w:t>七、</w:t>
      </w:r>
      <w:bookmarkEnd w:id="4"/>
      <w:r w:rsidR="005F13AF" w:rsidRPr="005B76A0">
        <w:rPr>
          <w:rFonts w:asciiTheme="majorEastAsia" w:eastAsia="宋体" w:hAnsiTheme="majorEastAsia"/>
          <w:b/>
          <w:bCs/>
          <w:kern w:val="44"/>
          <w:szCs w:val="44"/>
        </w:rPr>
        <w:t>与国内相关标准的关系</w:t>
      </w:r>
    </w:p>
    <w:p w14:paraId="1F992F41" w14:textId="29F6E819" w:rsidR="00DD666C" w:rsidRDefault="00084B34" w:rsidP="008900F3">
      <w:pPr>
        <w:widowControl/>
        <w:spacing w:line="440" w:lineRule="exact"/>
        <w:ind w:firstLineChars="200" w:firstLine="480"/>
        <w:rPr>
          <w:sz w:val="24"/>
        </w:rPr>
      </w:pPr>
      <w:r w:rsidRPr="005B76A0">
        <w:rPr>
          <w:rFonts w:hint="eastAsia"/>
          <w:sz w:val="24"/>
        </w:rPr>
        <w:t>本标准申报项目属于</w:t>
      </w:r>
      <w:r w:rsidR="007E26DE">
        <w:rPr>
          <w:rFonts w:hint="eastAsia"/>
          <w:sz w:val="24"/>
        </w:rPr>
        <w:t>碳达峰碳中和标准体系</w:t>
      </w:r>
      <w:r w:rsidRPr="005B76A0">
        <w:rPr>
          <w:rFonts w:hint="eastAsia"/>
          <w:sz w:val="24"/>
        </w:rPr>
        <w:t>中</w:t>
      </w:r>
      <w:r w:rsidR="007E26DE">
        <w:rPr>
          <w:rFonts w:hint="eastAsia"/>
          <w:sz w:val="24"/>
        </w:rPr>
        <w:t>0</w:t>
      </w:r>
      <w:r w:rsidRPr="005B76A0">
        <w:rPr>
          <w:rFonts w:hint="eastAsia"/>
          <w:sz w:val="24"/>
        </w:rPr>
        <w:t>“</w:t>
      </w:r>
      <w:r w:rsidR="007E26DE">
        <w:rPr>
          <w:rFonts w:hint="eastAsia"/>
          <w:sz w:val="24"/>
        </w:rPr>
        <w:t>基础通用</w:t>
      </w:r>
      <w:r w:rsidRPr="005B76A0">
        <w:rPr>
          <w:rFonts w:hint="eastAsia"/>
          <w:sz w:val="24"/>
        </w:rPr>
        <w:t>”大类，</w:t>
      </w:r>
      <w:r w:rsidRPr="005B76A0">
        <w:rPr>
          <w:rFonts w:hint="eastAsia"/>
          <w:sz w:val="24"/>
        </w:rPr>
        <w:t>0</w:t>
      </w:r>
      <w:r w:rsidR="007E26DE">
        <w:rPr>
          <w:rFonts w:hint="eastAsia"/>
          <w:sz w:val="24"/>
        </w:rPr>
        <w:t>.2</w:t>
      </w:r>
      <w:r w:rsidRPr="005B76A0">
        <w:rPr>
          <w:rFonts w:hint="eastAsia"/>
          <w:sz w:val="24"/>
        </w:rPr>
        <w:t>“</w:t>
      </w:r>
      <w:r w:rsidR="007E26DE">
        <w:rPr>
          <w:rFonts w:hint="eastAsia"/>
          <w:sz w:val="24"/>
        </w:rPr>
        <w:t>碳监测核算核查</w:t>
      </w:r>
      <w:r w:rsidRPr="005B76A0">
        <w:rPr>
          <w:rFonts w:hint="eastAsia"/>
          <w:sz w:val="24"/>
        </w:rPr>
        <w:t>”中类，</w:t>
      </w:r>
      <w:r w:rsidRPr="005B76A0">
        <w:rPr>
          <w:rFonts w:hint="eastAsia"/>
          <w:sz w:val="24"/>
        </w:rPr>
        <w:t xml:space="preserve"> 0</w:t>
      </w:r>
      <w:r w:rsidR="007E26DE">
        <w:rPr>
          <w:rFonts w:hint="eastAsia"/>
          <w:sz w:val="24"/>
        </w:rPr>
        <w:t>.2.5</w:t>
      </w:r>
      <w:r w:rsidRPr="005B76A0">
        <w:rPr>
          <w:rFonts w:hint="eastAsia"/>
          <w:sz w:val="24"/>
        </w:rPr>
        <w:t>“</w:t>
      </w:r>
      <w:r w:rsidR="007E26DE">
        <w:rPr>
          <w:rFonts w:hint="eastAsia"/>
          <w:sz w:val="24"/>
        </w:rPr>
        <w:t>产品碳足迹</w:t>
      </w:r>
      <w:r w:rsidRPr="005B76A0">
        <w:rPr>
          <w:rFonts w:hint="eastAsia"/>
          <w:sz w:val="24"/>
        </w:rPr>
        <w:t>”。体系图如下。</w:t>
      </w:r>
    </w:p>
    <w:p w14:paraId="5F5A6CED" w14:textId="34039890" w:rsidR="009F3D13" w:rsidRPr="005B76A0" w:rsidRDefault="007E26DE" w:rsidP="007E26DE">
      <w:pPr>
        <w:widowControl/>
        <w:rPr>
          <w:sz w:val="24"/>
        </w:rPr>
      </w:pPr>
      <w:r w:rsidRPr="007E26DE">
        <w:rPr>
          <w:noProof/>
          <w:sz w:val="24"/>
        </w:rPr>
        <w:lastRenderedPageBreak/>
        <w:drawing>
          <wp:inline distT="0" distB="0" distL="0" distR="0" wp14:anchorId="09009080" wp14:editId="3C8C7630">
            <wp:extent cx="5274310" cy="2963545"/>
            <wp:effectExtent l="0" t="0" r="2540" b="8255"/>
            <wp:docPr id="179968056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680567" name="图片 1" descr="图示&#10;&#10;描述已自动生成"/>
                    <pic:cNvPicPr/>
                  </pic:nvPicPr>
                  <pic:blipFill>
                    <a:blip r:embed="rId39" cstate="print">
                      <a:extLst>
                        <a:ext uri="{28A0092B-C50C-407E-A947-70E740481C1C}">
                          <a14:useLocalDpi xmlns:a14="http://schemas.microsoft.com/office/drawing/2010/main" val="0"/>
                        </a:ext>
                      </a:extLst>
                    </a:blip>
                    <a:stretch>
                      <a:fillRect/>
                    </a:stretch>
                  </pic:blipFill>
                  <pic:spPr>
                    <a:xfrm>
                      <a:off x="0" y="0"/>
                      <a:ext cx="5274310" cy="2963545"/>
                    </a:xfrm>
                    <a:prstGeom prst="rect">
                      <a:avLst/>
                    </a:prstGeom>
                  </pic:spPr>
                </pic:pic>
              </a:graphicData>
            </a:graphic>
          </wp:inline>
        </w:drawing>
      </w:r>
    </w:p>
    <w:p w14:paraId="52B68B35" w14:textId="6AFA44FC" w:rsidR="00DD666C" w:rsidRPr="005B76A0" w:rsidRDefault="00084B34" w:rsidP="008900F3">
      <w:pPr>
        <w:widowControl/>
        <w:spacing w:line="440" w:lineRule="exact"/>
        <w:rPr>
          <w:sz w:val="24"/>
        </w:rPr>
      </w:pPr>
      <w:r w:rsidRPr="005B76A0">
        <w:rPr>
          <w:sz w:val="24"/>
        </w:rPr>
        <w:t>本标准与相关法律、法规、规章和强制性标准无抵触。</w:t>
      </w:r>
    </w:p>
    <w:p w14:paraId="40074BBE" w14:textId="17E04B54" w:rsidR="00DD666C" w:rsidRPr="005B76A0" w:rsidRDefault="00084B34" w:rsidP="00646FC3">
      <w:pPr>
        <w:pStyle w:val="1"/>
        <w:rPr>
          <w:rFonts w:hint="eastAsia"/>
        </w:rPr>
      </w:pPr>
      <w:bookmarkStart w:id="22" w:name="_Toc23770176"/>
      <w:r w:rsidRPr="005B76A0">
        <w:rPr>
          <w:rFonts w:hint="eastAsia"/>
        </w:rPr>
        <w:t>八、</w:t>
      </w:r>
      <w:r w:rsidRPr="005B76A0">
        <w:t>重大分歧意见的处理经过和依据</w:t>
      </w:r>
      <w:bookmarkEnd w:id="22"/>
    </w:p>
    <w:p w14:paraId="72F1898B" w14:textId="77777777" w:rsidR="00DD666C" w:rsidRPr="005B76A0" w:rsidRDefault="00084B34">
      <w:pPr>
        <w:widowControl/>
        <w:spacing w:line="440" w:lineRule="exact"/>
        <w:ind w:firstLineChars="200" w:firstLine="480"/>
        <w:rPr>
          <w:sz w:val="24"/>
        </w:rPr>
      </w:pPr>
      <w:r w:rsidRPr="005B76A0">
        <w:rPr>
          <w:rFonts w:hint="eastAsia"/>
          <w:sz w:val="24"/>
        </w:rPr>
        <w:t>无。</w:t>
      </w:r>
    </w:p>
    <w:p w14:paraId="75ECD647" w14:textId="308E4FBD" w:rsidR="00DD666C" w:rsidRPr="005B76A0" w:rsidRDefault="00E87975" w:rsidP="00646FC3">
      <w:pPr>
        <w:pStyle w:val="1"/>
        <w:rPr>
          <w:rFonts w:hint="eastAsia"/>
        </w:rPr>
      </w:pPr>
      <w:bookmarkStart w:id="23" w:name="_Toc23770178"/>
      <w:r w:rsidRPr="005B76A0">
        <w:rPr>
          <w:rFonts w:hint="eastAsia"/>
        </w:rPr>
        <w:t>九</w:t>
      </w:r>
      <w:r w:rsidR="00084B34" w:rsidRPr="005B76A0">
        <w:rPr>
          <w:rFonts w:hint="eastAsia"/>
        </w:rPr>
        <w:t>、</w:t>
      </w:r>
      <w:r w:rsidR="00084B34" w:rsidRPr="005B76A0">
        <w:t>贯彻标准的要求和措施建议</w:t>
      </w:r>
      <w:bookmarkEnd w:id="23"/>
    </w:p>
    <w:p w14:paraId="19E5570F" w14:textId="05A09B48" w:rsidR="00DD666C" w:rsidRPr="005B76A0" w:rsidRDefault="00084B34">
      <w:pPr>
        <w:spacing w:beforeLines="30" w:before="93" w:afterLines="30" w:after="93" w:line="360" w:lineRule="auto"/>
        <w:ind w:firstLineChars="200" w:firstLine="480"/>
        <w:rPr>
          <w:rFonts w:ascii="ˎ̥" w:hAnsi="ˎ̥" w:hint="eastAsia"/>
          <w:sz w:val="24"/>
        </w:rPr>
      </w:pPr>
      <w:r w:rsidRPr="005B76A0">
        <w:rPr>
          <w:rFonts w:ascii="ˎ̥" w:hAnsi="ˎ̥" w:hint="eastAsia"/>
          <w:sz w:val="24"/>
        </w:rPr>
        <w:t>建议本标准批准</w:t>
      </w:r>
      <w:r w:rsidRPr="005B76A0">
        <w:rPr>
          <w:rFonts w:hint="eastAsia"/>
          <w:sz w:val="24"/>
        </w:rPr>
        <w:t>发布</w:t>
      </w:r>
      <w:r w:rsidR="005607FA" w:rsidRPr="005B76A0">
        <w:rPr>
          <w:rFonts w:hint="eastAsia"/>
          <w:sz w:val="24"/>
        </w:rPr>
        <w:t>即</w:t>
      </w:r>
      <w:r w:rsidRPr="005B76A0">
        <w:rPr>
          <w:rFonts w:ascii="ˎ̥" w:hAnsi="ˎ̥" w:hint="eastAsia"/>
          <w:sz w:val="24"/>
        </w:rPr>
        <w:t>实施。</w:t>
      </w:r>
    </w:p>
    <w:p w14:paraId="0E499845" w14:textId="466A52A6" w:rsidR="00DD666C" w:rsidRPr="005B76A0" w:rsidRDefault="00084B34" w:rsidP="00646FC3">
      <w:pPr>
        <w:pStyle w:val="1"/>
        <w:rPr>
          <w:rFonts w:hint="eastAsia"/>
        </w:rPr>
      </w:pPr>
      <w:bookmarkStart w:id="24" w:name="_Toc23770179"/>
      <w:r w:rsidRPr="005B76A0">
        <w:rPr>
          <w:rFonts w:hint="eastAsia"/>
        </w:rPr>
        <w:t>十、废止现行相关标准的建议</w:t>
      </w:r>
      <w:bookmarkEnd w:id="24"/>
    </w:p>
    <w:p w14:paraId="38633CEC" w14:textId="77777777" w:rsidR="00DD666C" w:rsidRPr="005B76A0" w:rsidRDefault="00084B34">
      <w:pPr>
        <w:widowControl/>
        <w:spacing w:line="440" w:lineRule="exact"/>
        <w:ind w:firstLineChars="200" w:firstLine="480"/>
        <w:rPr>
          <w:sz w:val="24"/>
        </w:rPr>
      </w:pPr>
      <w:r w:rsidRPr="005B76A0">
        <w:rPr>
          <w:rFonts w:hint="eastAsia"/>
          <w:sz w:val="24"/>
        </w:rPr>
        <w:t>无。</w:t>
      </w:r>
    </w:p>
    <w:p w14:paraId="522509DE" w14:textId="094FFB22" w:rsidR="00DD666C" w:rsidRPr="005B76A0" w:rsidRDefault="00084B34" w:rsidP="00646FC3">
      <w:pPr>
        <w:pStyle w:val="1"/>
        <w:rPr>
          <w:rFonts w:hint="eastAsia"/>
        </w:rPr>
      </w:pPr>
      <w:bookmarkStart w:id="25" w:name="_Toc23770180"/>
      <w:r w:rsidRPr="005B76A0">
        <w:rPr>
          <w:rFonts w:hint="eastAsia"/>
        </w:rPr>
        <w:t>十</w:t>
      </w:r>
      <w:r w:rsidR="00E87975" w:rsidRPr="005B76A0">
        <w:rPr>
          <w:rFonts w:hint="eastAsia"/>
        </w:rPr>
        <w:t>一</w:t>
      </w:r>
      <w:r w:rsidRPr="005B76A0">
        <w:rPr>
          <w:rFonts w:hint="eastAsia"/>
        </w:rPr>
        <w:t>、其他应予说明的事项</w:t>
      </w:r>
      <w:bookmarkEnd w:id="25"/>
    </w:p>
    <w:p w14:paraId="78360254" w14:textId="22C723B1" w:rsidR="00FA0D1D" w:rsidRPr="00201267" w:rsidRDefault="00FA0D1D" w:rsidP="00FA0D1D">
      <w:pPr>
        <w:spacing w:line="440" w:lineRule="exact"/>
        <w:ind w:firstLineChars="200" w:firstLine="480"/>
        <w:rPr>
          <w:rFonts w:ascii="ˎ̥" w:hAnsi="ˎ̥" w:hint="eastAsia"/>
          <w:sz w:val="24"/>
        </w:rPr>
      </w:pPr>
      <w:r w:rsidRPr="00C46BA4">
        <w:rPr>
          <w:rFonts w:ascii="ˎ̥" w:hAnsi="ˎ̥" w:hint="eastAsia"/>
          <w:sz w:val="24"/>
        </w:rPr>
        <w:t>2024</w:t>
      </w:r>
      <w:r w:rsidRPr="00C46BA4">
        <w:rPr>
          <w:rFonts w:ascii="ˎ̥" w:hAnsi="ˎ̥" w:hint="eastAsia"/>
          <w:sz w:val="24"/>
        </w:rPr>
        <w:t>年</w:t>
      </w:r>
      <w:r w:rsidRPr="00C46BA4">
        <w:rPr>
          <w:rFonts w:ascii="ˎ̥" w:hAnsi="ˎ̥" w:hint="eastAsia"/>
          <w:sz w:val="24"/>
        </w:rPr>
        <w:t>11</w:t>
      </w:r>
      <w:r w:rsidRPr="00C46BA4">
        <w:rPr>
          <w:rFonts w:ascii="ˎ̥" w:hAnsi="ˎ̥" w:hint="eastAsia"/>
          <w:sz w:val="24"/>
        </w:rPr>
        <w:t>月</w:t>
      </w:r>
      <w:r w:rsidRPr="00C46BA4">
        <w:rPr>
          <w:rFonts w:ascii="ˎ̥" w:hAnsi="ˎ̥" w:hint="eastAsia"/>
          <w:sz w:val="24"/>
        </w:rPr>
        <w:t>6</w:t>
      </w:r>
      <w:r w:rsidRPr="00C46BA4">
        <w:rPr>
          <w:rFonts w:ascii="ˎ̥" w:hAnsi="ˎ̥" w:hint="eastAsia"/>
          <w:sz w:val="24"/>
        </w:rPr>
        <w:t>日</w:t>
      </w:r>
      <w:r>
        <w:rPr>
          <w:rFonts w:ascii="ˎ̥" w:hAnsi="ˎ̥" w:hint="eastAsia"/>
          <w:sz w:val="24"/>
        </w:rPr>
        <w:t>，</w:t>
      </w:r>
      <w:r w:rsidRPr="00C46BA4">
        <w:rPr>
          <w:rFonts w:ascii="ˎ̥" w:hAnsi="ˎ̥" w:hint="eastAsia"/>
          <w:sz w:val="24"/>
        </w:rPr>
        <w:t>工业和信息化部办公厅印发《重点工业产品碳足迹核算规则标准编制指南》。要求标准名称统一命名为《温室气体产品碳足迹量化方法与要求</w:t>
      </w:r>
      <w:r w:rsidRPr="00C46BA4">
        <w:rPr>
          <w:rFonts w:ascii="ˎ̥" w:hAnsi="ˎ̥" w:hint="eastAsia"/>
          <w:sz w:val="24"/>
        </w:rPr>
        <w:t>XX</w:t>
      </w:r>
      <w:r w:rsidRPr="00C46BA4">
        <w:rPr>
          <w:rFonts w:ascii="ˎ̥" w:hAnsi="ˎ̥" w:hint="eastAsia"/>
          <w:sz w:val="24"/>
        </w:rPr>
        <w:t>产品》。</w:t>
      </w:r>
      <w:r>
        <w:rPr>
          <w:rFonts w:ascii="ˎ̥" w:hAnsi="ˎ̥" w:hint="eastAsia"/>
          <w:sz w:val="24"/>
        </w:rPr>
        <w:t>此外，在标准起草过程中，经过行业调研和企业研讨，为明确产品核算边界，提升标准的实操性，重新划分产品类别，</w:t>
      </w:r>
      <w:r w:rsidRPr="005B76A0">
        <w:rPr>
          <w:rFonts w:ascii="ˎ̥" w:hAnsi="ˎ̥" w:hint="eastAsia"/>
          <w:sz w:val="24"/>
        </w:rPr>
        <w:t>将标准名称</w:t>
      </w:r>
      <w:r>
        <w:rPr>
          <w:rFonts w:ascii="ˎ̥" w:hAnsi="ˎ̥" w:hint="eastAsia"/>
          <w:sz w:val="24"/>
        </w:rPr>
        <w:t>由计划名称“</w:t>
      </w:r>
      <w:r>
        <w:rPr>
          <w:rFonts w:hint="eastAsia"/>
          <w:sz w:val="24"/>
        </w:rPr>
        <w:t>产品碳足迹</w:t>
      </w:r>
      <w:r>
        <w:rPr>
          <w:rFonts w:hint="eastAsia"/>
          <w:sz w:val="24"/>
        </w:rPr>
        <w:t xml:space="preserve"> </w:t>
      </w:r>
      <w:r>
        <w:rPr>
          <w:rFonts w:hint="eastAsia"/>
          <w:sz w:val="24"/>
        </w:rPr>
        <w:t>产品种类规则</w:t>
      </w:r>
      <w:r>
        <w:rPr>
          <w:rFonts w:hint="eastAsia"/>
          <w:sz w:val="24"/>
        </w:rPr>
        <w:t xml:space="preserve"> </w:t>
      </w:r>
      <w:r>
        <w:rPr>
          <w:rFonts w:hint="eastAsia"/>
          <w:sz w:val="24"/>
        </w:rPr>
        <w:t>食品接触用金属容器</w:t>
      </w:r>
      <w:r>
        <w:rPr>
          <w:rFonts w:ascii="ˎ̥" w:hAnsi="ˎ̥" w:hint="eastAsia"/>
          <w:sz w:val="24"/>
        </w:rPr>
        <w:t>”</w:t>
      </w:r>
      <w:r w:rsidRPr="005B76A0">
        <w:rPr>
          <w:rFonts w:ascii="ˎ̥" w:hAnsi="ˎ̥" w:hint="eastAsia"/>
          <w:sz w:val="24"/>
        </w:rPr>
        <w:t>改为“</w:t>
      </w:r>
      <w:r w:rsidRPr="00C46BA4">
        <w:rPr>
          <w:rFonts w:ascii="ˎ̥" w:hAnsi="ˎ̥" w:hint="eastAsia"/>
          <w:sz w:val="24"/>
        </w:rPr>
        <w:t>温室气体</w:t>
      </w:r>
      <w:r w:rsidRPr="00C46BA4">
        <w:rPr>
          <w:rFonts w:ascii="ˎ̥" w:hAnsi="ˎ̥" w:hint="eastAsia"/>
          <w:sz w:val="24"/>
        </w:rPr>
        <w:t xml:space="preserve"> </w:t>
      </w:r>
      <w:r w:rsidRPr="00C46BA4">
        <w:rPr>
          <w:rFonts w:ascii="ˎ̥" w:hAnsi="ˎ̥" w:hint="eastAsia"/>
          <w:sz w:val="24"/>
        </w:rPr>
        <w:t>产品碳足迹量化方法与要求</w:t>
      </w:r>
      <w:r w:rsidRPr="00C46BA4">
        <w:rPr>
          <w:rFonts w:ascii="ˎ̥" w:hAnsi="ˎ̥" w:hint="eastAsia"/>
          <w:sz w:val="24"/>
        </w:rPr>
        <w:t xml:space="preserve"> </w:t>
      </w:r>
      <w:r w:rsidRPr="00C46BA4">
        <w:rPr>
          <w:rFonts w:ascii="ˎ̥" w:hAnsi="ˎ̥" w:hint="eastAsia"/>
          <w:sz w:val="24"/>
        </w:rPr>
        <w:t>食品接触用</w:t>
      </w:r>
      <w:r>
        <w:rPr>
          <w:rFonts w:hint="eastAsia"/>
          <w:sz w:val="24"/>
        </w:rPr>
        <w:t>金属容器（含盖）</w:t>
      </w:r>
      <w:r w:rsidRPr="005B76A0">
        <w:rPr>
          <w:rFonts w:ascii="ˎ̥" w:hAnsi="ˎ̥" w:hint="eastAsia"/>
          <w:sz w:val="24"/>
        </w:rPr>
        <w:t>”。</w:t>
      </w:r>
    </w:p>
    <w:p w14:paraId="4968151D" w14:textId="4B0438BE" w:rsidR="009A689A" w:rsidRPr="00FA0D1D" w:rsidRDefault="009A689A" w:rsidP="009A689A">
      <w:pPr>
        <w:widowControl/>
        <w:spacing w:line="440" w:lineRule="exact"/>
        <w:ind w:firstLineChars="200" w:firstLine="480"/>
        <w:rPr>
          <w:sz w:val="24"/>
        </w:rPr>
      </w:pPr>
    </w:p>
    <w:sectPr w:rsidR="009A689A" w:rsidRPr="00FA0D1D">
      <w:footerReference w:type="default" r:id="rId40"/>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52FD6" w14:textId="77777777" w:rsidR="00A77DB3" w:rsidRDefault="00A77DB3">
      <w:r>
        <w:separator/>
      </w:r>
    </w:p>
  </w:endnote>
  <w:endnote w:type="continuationSeparator" w:id="0">
    <w:p w14:paraId="5DABBE92" w14:textId="77777777" w:rsidR="00A77DB3" w:rsidRDefault="00A7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865159"/>
    </w:sdtPr>
    <w:sdtContent>
      <w:p w14:paraId="254A05BD" w14:textId="77777777" w:rsidR="00DD666C" w:rsidRDefault="00084B34">
        <w:pPr>
          <w:pStyle w:val="af6"/>
          <w:jc w:val="center"/>
        </w:pPr>
        <w:r>
          <w:fldChar w:fldCharType="begin"/>
        </w:r>
        <w:r>
          <w:instrText>PAGE   \* MERGEFORMAT</w:instrText>
        </w:r>
        <w:r>
          <w:fldChar w:fldCharType="separate"/>
        </w:r>
        <w:r>
          <w:rPr>
            <w:lang w:val="zh-CN"/>
          </w:rPr>
          <w:t>10</w:t>
        </w:r>
        <w:r>
          <w:fldChar w:fldCharType="end"/>
        </w:r>
      </w:p>
    </w:sdtContent>
  </w:sdt>
  <w:p w14:paraId="23CAE992" w14:textId="77777777" w:rsidR="00DD666C" w:rsidRDefault="00DD666C">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9B80C" w14:textId="77777777" w:rsidR="00A77DB3" w:rsidRDefault="00A77DB3">
      <w:r>
        <w:separator/>
      </w:r>
    </w:p>
  </w:footnote>
  <w:footnote w:type="continuationSeparator" w:id="0">
    <w:p w14:paraId="3458CD45" w14:textId="77777777" w:rsidR="00A77DB3" w:rsidRDefault="00A77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F7EBC"/>
    <w:multiLevelType w:val="hybridMultilevel"/>
    <w:tmpl w:val="AB2C433C"/>
    <w:lvl w:ilvl="0" w:tplc="04090019">
      <w:start w:val="1"/>
      <w:numFmt w:val="lowerLetter"/>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 w15:restartNumberingAfterBreak="0">
    <w:nsid w:val="0DDE2B46"/>
    <w:multiLevelType w:val="multilevel"/>
    <w:tmpl w:val="0DDE2B4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2" w15:restartNumberingAfterBreak="0">
    <w:nsid w:val="16C77CD7"/>
    <w:multiLevelType w:val="hybridMultilevel"/>
    <w:tmpl w:val="E1E82BC8"/>
    <w:lvl w:ilvl="0" w:tplc="0409000B">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3"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lvlText w:val="（%2）"/>
      <w:lvlJc w:val="left"/>
      <w:pPr>
        <w:ind w:left="284" w:firstLine="0"/>
      </w:pPr>
      <w:rPr>
        <w:rFonts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lvlText w:val="（%3）"/>
      <w:lvlJc w:val="left"/>
      <w:pPr>
        <w:ind w:left="426" w:firstLine="0"/>
      </w:pPr>
      <w:rPr>
        <w:rFonts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28EB069E"/>
    <w:multiLevelType w:val="multilevel"/>
    <w:tmpl w:val="36B2AA52"/>
    <w:lvl w:ilvl="0">
      <w:start w:val="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F3D3A44"/>
    <w:multiLevelType w:val="hybridMultilevel"/>
    <w:tmpl w:val="F8D810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FB96907"/>
    <w:multiLevelType w:val="hybridMultilevel"/>
    <w:tmpl w:val="1368F99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44C50F90"/>
    <w:multiLevelType w:val="multilevel"/>
    <w:tmpl w:val="0B0E7468"/>
    <w:lvl w:ilvl="0">
      <w:start w:val="1"/>
      <w:numFmt w:val="lowerLetter"/>
      <w:pStyle w:val="a0"/>
      <w:lvlText w:val="%1)"/>
      <w:lvlJc w:val="left"/>
      <w:pPr>
        <w:tabs>
          <w:tab w:val="left" w:pos="851"/>
        </w:tabs>
        <w:ind w:left="851" w:hanging="426"/>
      </w:pPr>
      <w:rPr>
        <w:rFonts w:ascii="Times New Roman" w:eastAsia="宋体" w:hAnsi="Times New Roman" w:cs="Times New Roman" w:hint="default"/>
        <w:sz w:val="21"/>
      </w:rPr>
    </w:lvl>
    <w:lvl w:ilvl="1">
      <w:start w:val="1"/>
      <w:numFmt w:val="decimal"/>
      <w:pStyle w:val="a1"/>
      <w:lvlText w:val="%2)"/>
      <w:lvlJc w:val="left"/>
      <w:pPr>
        <w:tabs>
          <w:tab w:val="left" w:pos="1276"/>
        </w:tabs>
        <w:ind w:left="1276" w:hanging="425"/>
      </w:pPr>
      <w:rPr>
        <w:rFonts w:ascii="宋体" w:eastAsia="宋体" w:hAnsi="Times New Roman" w:hint="eastAsia"/>
        <w:sz w:val="21"/>
      </w:rPr>
    </w:lvl>
    <w:lvl w:ilvl="2">
      <w:start w:val="1"/>
      <w:numFmt w:val="decimal"/>
      <w:pStyle w:val="a2"/>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8" w15:restartNumberingAfterBreak="0">
    <w:nsid w:val="557C2AF5"/>
    <w:multiLevelType w:val="multilevel"/>
    <w:tmpl w:val="557C2AF5"/>
    <w:lvl w:ilvl="0">
      <w:start w:val="1"/>
      <w:numFmt w:val="decimal"/>
      <w:pStyle w:val="a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9" w15:restartNumberingAfterBreak="0">
    <w:nsid w:val="63FD1F98"/>
    <w:multiLevelType w:val="singleLevel"/>
    <w:tmpl w:val="63FD1F98"/>
    <w:lvl w:ilvl="0">
      <w:start w:val="2"/>
      <w:numFmt w:val="decimal"/>
      <w:suff w:val="nothing"/>
      <w:lvlText w:val="（%1）"/>
      <w:lvlJc w:val="left"/>
    </w:lvl>
  </w:abstractNum>
  <w:abstractNum w:abstractNumId="10" w15:restartNumberingAfterBreak="0">
    <w:nsid w:val="646260FA"/>
    <w:multiLevelType w:val="multilevel"/>
    <w:tmpl w:val="646260FA"/>
    <w:lvl w:ilvl="0">
      <w:start w:val="1"/>
      <w:numFmt w:val="decimal"/>
      <w:suff w:val="nothing"/>
      <w:lvlText w:val="表%1　"/>
      <w:lvlJc w:val="left"/>
      <w:pPr>
        <w:ind w:left="2978" w:firstLine="0"/>
      </w:pPr>
      <w:rPr>
        <w:rFonts w:ascii="黑体" w:eastAsia="黑体" w:hAnsi="Times New Roman" w:hint="eastAsia"/>
        <w:b w:val="0"/>
        <w:i w:val="0"/>
        <w:sz w:val="21"/>
        <w:lang w:val="en-US"/>
      </w:rPr>
    </w:lvl>
    <w:lvl w:ilvl="1">
      <w:start w:val="1"/>
      <w:numFmt w:val="decimal"/>
      <w:lvlText w:val="%1.%2"/>
      <w:lvlJc w:val="left"/>
      <w:pPr>
        <w:tabs>
          <w:tab w:val="num" w:pos="5155"/>
        </w:tabs>
        <w:ind w:left="5155" w:hanging="567"/>
      </w:pPr>
      <w:rPr>
        <w:rFonts w:hint="eastAsia"/>
      </w:rPr>
    </w:lvl>
    <w:lvl w:ilvl="2">
      <w:start w:val="1"/>
      <w:numFmt w:val="decimal"/>
      <w:lvlText w:val="%1.%2.%3"/>
      <w:lvlJc w:val="left"/>
      <w:pPr>
        <w:tabs>
          <w:tab w:val="num" w:pos="5581"/>
        </w:tabs>
        <w:ind w:left="5581" w:hanging="567"/>
      </w:pPr>
      <w:rPr>
        <w:rFonts w:hint="eastAsia"/>
      </w:rPr>
    </w:lvl>
    <w:lvl w:ilvl="3">
      <w:start w:val="1"/>
      <w:numFmt w:val="decimal"/>
      <w:lvlText w:val="%1.%2.%3.%4"/>
      <w:lvlJc w:val="left"/>
      <w:pPr>
        <w:tabs>
          <w:tab w:val="num" w:pos="6147"/>
        </w:tabs>
        <w:ind w:left="6147" w:hanging="708"/>
      </w:pPr>
      <w:rPr>
        <w:rFonts w:hint="eastAsia"/>
      </w:rPr>
    </w:lvl>
    <w:lvl w:ilvl="4">
      <w:start w:val="1"/>
      <w:numFmt w:val="decimal"/>
      <w:lvlText w:val="%1.%2.%3.%4.%5"/>
      <w:lvlJc w:val="left"/>
      <w:pPr>
        <w:tabs>
          <w:tab w:val="num" w:pos="6714"/>
        </w:tabs>
        <w:ind w:left="6714" w:hanging="850"/>
      </w:pPr>
      <w:rPr>
        <w:rFonts w:hint="eastAsia"/>
      </w:rPr>
    </w:lvl>
    <w:lvl w:ilvl="5">
      <w:start w:val="1"/>
      <w:numFmt w:val="decimal"/>
      <w:lvlText w:val="%1.%2.%3.%4.%5.%6"/>
      <w:lvlJc w:val="left"/>
      <w:pPr>
        <w:tabs>
          <w:tab w:val="num" w:pos="7423"/>
        </w:tabs>
        <w:ind w:left="7423" w:hanging="1134"/>
      </w:pPr>
      <w:rPr>
        <w:rFonts w:hint="eastAsia"/>
      </w:rPr>
    </w:lvl>
    <w:lvl w:ilvl="6">
      <w:start w:val="1"/>
      <w:numFmt w:val="decimal"/>
      <w:lvlText w:val="%1.%2.%3.%4.%5.%6.%7"/>
      <w:lvlJc w:val="left"/>
      <w:pPr>
        <w:tabs>
          <w:tab w:val="num" w:pos="7990"/>
        </w:tabs>
        <w:ind w:left="7990" w:hanging="1276"/>
      </w:pPr>
      <w:rPr>
        <w:rFonts w:hint="eastAsia"/>
      </w:rPr>
    </w:lvl>
    <w:lvl w:ilvl="7">
      <w:start w:val="1"/>
      <w:numFmt w:val="decimal"/>
      <w:lvlText w:val="%1.%2.%3.%4.%5.%6.%7.%8"/>
      <w:lvlJc w:val="left"/>
      <w:pPr>
        <w:tabs>
          <w:tab w:val="num" w:pos="8557"/>
        </w:tabs>
        <w:ind w:left="8557" w:hanging="1418"/>
      </w:pPr>
      <w:rPr>
        <w:rFonts w:hint="eastAsia"/>
      </w:rPr>
    </w:lvl>
    <w:lvl w:ilvl="8">
      <w:start w:val="1"/>
      <w:numFmt w:val="decimal"/>
      <w:lvlText w:val="%1.%2.%3.%4.%5.%6.%7.%8.%9"/>
      <w:lvlJc w:val="left"/>
      <w:pPr>
        <w:tabs>
          <w:tab w:val="num" w:pos="9265"/>
        </w:tabs>
        <w:ind w:left="9265" w:hanging="1700"/>
      </w:pPr>
      <w:rPr>
        <w:rFonts w:hint="eastAsia"/>
      </w:rPr>
    </w:lvl>
  </w:abstractNum>
  <w:abstractNum w:abstractNumId="11" w15:restartNumberingAfterBreak="0">
    <w:nsid w:val="69897FE2"/>
    <w:multiLevelType w:val="multilevel"/>
    <w:tmpl w:val="69897FE2"/>
    <w:lvl w:ilvl="0">
      <w:start w:val="3"/>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CEA2025"/>
    <w:multiLevelType w:val="multilevel"/>
    <w:tmpl w:val="6CEA2025"/>
    <w:lvl w:ilvl="0">
      <w:start w:val="1"/>
      <w:numFmt w:val="none"/>
      <w:pStyle w:val="a4"/>
      <w:suff w:val="nothing"/>
      <w:lvlText w:val="%1"/>
      <w:lvlJc w:val="left"/>
      <w:pPr>
        <w:ind w:left="0" w:firstLine="0"/>
      </w:pPr>
      <w:rPr>
        <w:rFonts w:hint="eastAsia"/>
      </w:rPr>
    </w:lvl>
    <w:lvl w:ilvl="1">
      <w:start w:val="1"/>
      <w:numFmt w:val="decimal"/>
      <w:pStyle w:val="a5"/>
      <w:suff w:val="nothing"/>
      <w:lvlText w:val="%1%2　"/>
      <w:lvlJc w:val="left"/>
      <w:pPr>
        <w:ind w:left="0" w:firstLine="0"/>
      </w:pPr>
      <w:rPr>
        <w:rFonts w:ascii="黑体" w:eastAsia="黑体" w:hint="eastAsia"/>
        <w:b w:val="0"/>
        <w:i w:val="0"/>
        <w:sz w:val="21"/>
      </w:rPr>
    </w:lvl>
    <w:lvl w:ilvl="2">
      <w:start w:val="1"/>
      <w:numFmt w:val="decimal"/>
      <w:pStyle w:val="a6"/>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7"/>
      <w:suff w:val="nothing"/>
      <w:lvlText w:val="%1%2.%3.%4　"/>
      <w:lvlJc w:val="left"/>
      <w:pPr>
        <w:ind w:left="0" w:firstLine="0"/>
      </w:pPr>
      <w:rPr>
        <w:rFonts w:ascii="黑体" w:eastAsia="黑体" w:hint="eastAsia"/>
        <w:b w:val="0"/>
        <w:i w:val="0"/>
        <w:sz w:val="21"/>
      </w:rPr>
    </w:lvl>
    <w:lvl w:ilvl="4">
      <w:start w:val="1"/>
      <w:numFmt w:val="decimal"/>
      <w:pStyle w:val="a8"/>
      <w:suff w:val="nothing"/>
      <w:lvlText w:val="%1%2.%3.%4.%5　"/>
      <w:lvlJc w:val="left"/>
      <w:pPr>
        <w:ind w:left="4253" w:firstLine="0"/>
      </w:pPr>
      <w:rPr>
        <w:rFonts w:ascii="黑体" w:eastAsia="黑体" w:hint="eastAsia"/>
        <w:b w:val="0"/>
        <w:i w:val="0"/>
        <w:sz w:val="21"/>
      </w:rPr>
    </w:lvl>
    <w:lvl w:ilvl="5">
      <w:start w:val="1"/>
      <w:numFmt w:val="decimal"/>
      <w:pStyle w:val="a9"/>
      <w:suff w:val="nothing"/>
      <w:lvlText w:val="%1%2.%3.%4.%5.%6　"/>
      <w:lvlJc w:val="left"/>
      <w:pPr>
        <w:ind w:left="0" w:firstLine="0"/>
      </w:pPr>
      <w:rPr>
        <w:rFonts w:ascii="黑体" w:eastAsia="黑体" w:hint="eastAsia"/>
        <w:b w:val="0"/>
        <w:i w:val="0"/>
        <w:sz w:val="21"/>
      </w:rPr>
    </w:lvl>
    <w:lvl w:ilvl="6">
      <w:start w:val="1"/>
      <w:numFmt w:val="decimal"/>
      <w:pStyle w:val="aa"/>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886217552">
    <w:abstractNumId w:val="1"/>
  </w:num>
  <w:num w:numId="2" w16cid:durableId="763114103">
    <w:abstractNumId w:val="3"/>
  </w:num>
  <w:num w:numId="3" w16cid:durableId="1509980047">
    <w:abstractNumId w:val="12"/>
  </w:num>
  <w:num w:numId="4" w16cid:durableId="1965429098">
    <w:abstractNumId w:val="8"/>
  </w:num>
  <w:num w:numId="5" w16cid:durableId="1349940190">
    <w:abstractNumId w:val="9"/>
  </w:num>
  <w:num w:numId="6" w16cid:durableId="1432819884">
    <w:abstractNumId w:val="11"/>
  </w:num>
  <w:num w:numId="7" w16cid:durableId="1674454577">
    <w:abstractNumId w:val="7"/>
  </w:num>
  <w:num w:numId="8" w16cid:durableId="3192364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4715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5045544">
    <w:abstractNumId w:val="7"/>
  </w:num>
  <w:num w:numId="11" w16cid:durableId="706492937">
    <w:abstractNumId w:val="7"/>
  </w:num>
  <w:num w:numId="12" w16cid:durableId="1414621790">
    <w:abstractNumId w:val="7"/>
  </w:num>
  <w:num w:numId="13" w16cid:durableId="1262488819">
    <w:abstractNumId w:val="7"/>
  </w:num>
  <w:num w:numId="14" w16cid:durableId="939795197">
    <w:abstractNumId w:val="7"/>
  </w:num>
  <w:num w:numId="15" w16cid:durableId="3140658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9876828">
    <w:abstractNumId w:val="7"/>
  </w:num>
  <w:num w:numId="17" w16cid:durableId="1373535177">
    <w:abstractNumId w:val="7"/>
  </w:num>
  <w:num w:numId="18" w16cid:durableId="722681504">
    <w:abstractNumId w:val="10"/>
  </w:num>
  <w:num w:numId="19" w16cid:durableId="1229195651">
    <w:abstractNumId w:val="4"/>
  </w:num>
  <w:num w:numId="20" w16cid:durableId="1222717868">
    <w:abstractNumId w:val="5"/>
  </w:num>
  <w:num w:numId="21" w16cid:durableId="1883833145">
    <w:abstractNumId w:val="6"/>
  </w:num>
  <w:num w:numId="22" w16cid:durableId="1866476773">
    <w:abstractNumId w:val="2"/>
  </w:num>
  <w:num w:numId="23" w16cid:durableId="1646383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BhZDM2MDY1NmRkMTExMzBjMDNkOWFiYjM4MTE4ZjAifQ=="/>
  </w:docVars>
  <w:rsids>
    <w:rsidRoot w:val="00AC030E"/>
    <w:rsid w:val="00000532"/>
    <w:rsid w:val="00000E45"/>
    <w:rsid w:val="0000141E"/>
    <w:rsid w:val="00007488"/>
    <w:rsid w:val="00010ED8"/>
    <w:rsid w:val="00011B3A"/>
    <w:rsid w:val="00016DA8"/>
    <w:rsid w:val="000208CA"/>
    <w:rsid w:val="000248D9"/>
    <w:rsid w:val="0002722E"/>
    <w:rsid w:val="00030B31"/>
    <w:rsid w:val="00032052"/>
    <w:rsid w:val="00033755"/>
    <w:rsid w:val="0004048D"/>
    <w:rsid w:val="00045984"/>
    <w:rsid w:val="0005128B"/>
    <w:rsid w:val="000547E2"/>
    <w:rsid w:val="00056CB9"/>
    <w:rsid w:val="00060E39"/>
    <w:rsid w:val="00061A12"/>
    <w:rsid w:val="00065146"/>
    <w:rsid w:val="0007287E"/>
    <w:rsid w:val="000729A7"/>
    <w:rsid w:val="00072D6F"/>
    <w:rsid w:val="0007412B"/>
    <w:rsid w:val="000741C6"/>
    <w:rsid w:val="0007456E"/>
    <w:rsid w:val="000777A0"/>
    <w:rsid w:val="00077DE8"/>
    <w:rsid w:val="00082692"/>
    <w:rsid w:val="00083760"/>
    <w:rsid w:val="000847B1"/>
    <w:rsid w:val="00084B34"/>
    <w:rsid w:val="0008549F"/>
    <w:rsid w:val="00092F44"/>
    <w:rsid w:val="00096676"/>
    <w:rsid w:val="00096A76"/>
    <w:rsid w:val="000A7347"/>
    <w:rsid w:val="000A7F2D"/>
    <w:rsid w:val="000B011B"/>
    <w:rsid w:val="000B2EE1"/>
    <w:rsid w:val="000B30DD"/>
    <w:rsid w:val="000B3759"/>
    <w:rsid w:val="000B5CF5"/>
    <w:rsid w:val="000B69D4"/>
    <w:rsid w:val="000C0E56"/>
    <w:rsid w:val="000C446F"/>
    <w:rsid w:val="000C499D"/>
    <w:rsid w:val="000C4E42"/>
    <w:rsid w:val="000C7BC4"/>
    <w:rsid w:val="000D013A"/>
    <w:rsid w:val="000D132A"/>
    <w:rsid w:val="000D25E7"/>
    <w:rsid w:val="000D6AF4"/>
    <w:rsid w:val="000E0601"/>
    <w:rsid w:val="000F135C"/>
    <w:rsid w:val="000F37E3"/>
    <w:rsid w:val="000F540D"/>
    <w:rsid w:val="000F6B36"/>
    <w:rsid w:val="000F7089"/>
    <w:rsid w:val="001018D7"/>
    <w:rsid w:val="0010276C"/>
    <w:rsid w:val="0010564C"/>
    <w:rsid w:val="001073BC"/>
    <w:rsid w:val="001165E4"/>
    <w:rsid w:val="0012386C"/>
    <w:rsid w:val="0012492D"/>
    <w:rsid w:val="00126BFD"/>
    <w:rsid w:val="00133064"/>
    <w:rsid w:val="0013344D"/>
    <w:rsid w:val="0013435C"/>
    <w:rsid w:val="00136EDD"/>
    <w:rsid w:val="00141627"/>
    <w:rsid w:val="0014319B"/>
    <w:rsid w:val="001437AF"/>
    <w:rsid w:val="00146417"/>
    <w:rsid w:val="00161987"/>
    <w:rsid w:val="00162393"/>
    <w:rsid w:val="001671B6"/>
    <w:rsid w:val="0017706D"/>
    <w:rsid w:val="00181791"/>
    <w:rsid w:val="001817CC"/>
    <w:rsid w:val="0018707F"/>
    <w:rsid w:val="00187122"/>
    <w:rsid w:val="001873A2"/>
    <w:rsid w:val="0018757C"/>
    <w:rsid w:val="001915A2"/>
    <w:rsid w:val="0019165A"/>
    <w:rsid w:val="00192FE7"/>
    <w:rsid w:val="00194AD4"/>
    <w:rsid w:val="00196C4D"/>
    <w:rsid w:val="00197113"/>
    <w:rsid w:val="001A0CF7"/>
    <w:rsid w:val="001A3ECC"/>
    <w:rsid w:val="001A4C4D"/>
    <w:rsid w:val="001A5F0C"/>
    <w:rsid w:val="001A6C0D"/>
    <w:rsid w:val="001B1C3E"/>
    <w:rsid w:val="001B378B"/>
    <w:rsid w:val="001B4F9E"/>
    <w:rsid w:val="001B7A1B"/>
    <w:rsid w:val="001C13F3"/>
    <w:rsid w:val="001C7910"/>
    <w:rsid w:val="001D1376"/>
    <w:rsid w:val="001D7A40"/>
    <w:rsid w:val="001E2188"/>
    <w:rsid w:val="001E3B7A"/>
    <w:rsid w:val="001E4A1F"/>
    <w:rsid w:val="001F0C24"/>
    <w:rsid w:val="001F41E3"/>
    <w:rsid w:val="001F4D60"/>
    <w:rsid w:val="001F656A"/>
    <w:rsid w:val="001F7BDF"/>
    <w:rsid w:val="002012E8"/>
    <w:rsid w:val="00202DC4"/>
    <w:rsid w:val="0020356D"/>
    <w:rsid w:val="00205A9A"/>
    <w:rsid w:val="002068C2"/>
    <w:rsid w:val="00210B24"/>
    <w:rsid w:val="0021214E"/>
    <w:rsid w:val="00212285"/>
    <w:rsid w:val="00212D28"/>
    <w:rsid w:val="00215E66"/>
    <w:rsid w:val="002160DC"/>
    <w:rsid w:val="00217539"/>
    <w:rsid w:val="002177BE"/>
    <w:rsid w:val="002225C9"/>
    <w:rsid w:val="00222CD6"/>
    <w:rsid w:val="0022747F"/>
    <w:rsid w:val="00232391"/>
    <w:rsid w:val="002353E9"/>
    <w:rsid w:val="00236773"/>
    <w:rsid w:val="002371C4"/>
    <w:rsid w:val="002416F9"/>
    <w:rsid w:val="00241C91"/>
    <w:rsid w:val="002438BF"/>
    <w:rsid w:val="00244F69"/>
    <w:rsid w:val="00245D22"/>
    <w:rsid w:val="00250C85"/>
    <w:rsid w:val="00257C40"/>
    <w:rsid w:val="00260209"/>
    <w:rsid w:val="0026047D"/>
    <w:rsid w:val="00261631"/>
    <w:rsid w:val="00261FA1"/>
    <w:rsid w:val="00261FC7"/>
    <w:rsid w:val="0026436B"/>
    <w:rsid w:val="00264881"/>
    <w:rsid w:val="00264AEB"/>
    <w:rsid w:val="00265247"/>
    <w:rsid w:val="002664C7"/>
    <w:rsid w:val="00266A58"/>
    <w:rsid w:val="002827C7"/>
    <w:rsid w:val="00285C6D"/>
    <w:rsid w:val="00287846"/>
    <w:rsid w:val="00293286"/>
    <w:rsid w:val="0029487D"/>
    <w:rsid w:val="0029670C"/>
    <w:rsid w:val="002972EA"/>
    <w:rsid w:val="002A3C2E"/>
    <w:rsid w:val="002A4DF3"/>
    <w:rsid w:val="002B01D4"/>
    <w:rsid w:val="002D34E6"/>
    <w:rsid w:val="002D558A"/>
    <w:rsid w:val="002D742B"/>
    <w:rsid w:val="002E1062"/>
    <w:rsid w:val="002E1E38"/>
    <w:rsid w:val="002E3164"/>
    <w:rsid w:val="002E4E94"/>
    <w:rsid w:val="002E6D6A"/>
    <w:rsid w:val="002E7C30"/>
    <w:rsid w:val="002F15F6"/>
    <w:rsid w:val="002F287F"/>
    <w:rsid w:val="003014FA"/>
    <w:rsid w:val="00301523"/>
    <w:rsid w:val="00302A68"/>
    <w:rsid w:val="00304BD9"/>
    <w:rsid w:val="0031315D"/>
    <w:rsid w:val="003215D9"/>
    <w:rsid w:val="003256DD"/>
    <w:rsid w:val="00325B6C"/>
    <w:rsid w:val="00327BC6"/>
    <w:rsid w:val="00333F80"/>
    <w:rsid w:val="00335641"/>
    <w:rsid w:val="00336678"/>
    <w:rsid w:val="00345CF7"/>
    <w:rsid w:val="003473EB"/>
    <w:rsid w:val="003561D7"/>
    <w:rsid w:val="00360129"/>
    <w:rsid w:val="00363FA8"/>
    <w:rsid w:val="00364AB3"/>
    <w:rsid w:val="00366142"/>
    <w:rsid w:val="00367972"/>
    <w:rsid w:val="00370081"/>
    <w:rsid w:val="003757C9"/>
    <w:rsid w:val="0037705D"/>
    <w:rsid w:val="00377295"/>
    <w:rsid w:val="003777CA"/>
    <w:rsid w:val="00381175"/>
    <w:rsid w:val="003818CD"/>
    <w:rsid w:val="00382287"/>
    <w:rsid w:val="00383721"/>
    <w:rsid w:val="00394AB3"/>
    <w:rsid w:val="003A04FF"/>
    <w:rsid w:val="003A3379"/>
    <w:rsid w:val="003A3621"/>
    <w:rsid w:val="003A511C"/>
    <w:rsid w:val="003A541F"/>
    <w:rsid w:val="003A6118"/>
    <w:rsid w:val="003B38DA"/>
    <w:rsid w:val="003B4302"/>
    <w:rsid w:val="003B440F"/>
    <w:rsid w:val="003B4785"/>
    <w:rsid w:val="003B5BC8"/>
    <w:rsid w:val="003B6F73"/>
    <w:rsid w:val="003C31FF"/>
    <w:rsid w:val="003C32BB"/>
    <w:rsid w:val="003C6BB2"/>
    <w:rsid w:val="003D02E9"/>
    <w:rsid w:val="003D083B"/>
    <w:rsid w:val="003D1C44"/>
    <w:rsid w:val="003D31C1"/>
    <w:rsid w:val="003E25E4"/>
    <w:rsid w:val="003E2D34"/>
    <w:rsid w:val="003E34BC"/>
    <w:rsid w:val="003F4FE1"/>
    <w:rsid w:val="003F51DA"/>
    <w:rsid w:val="004005A4"/>
    <w:rsid w:val="004012A3"/>
    <w:rsid w:val="0040171B"/>
    <w:rsid w:val="004057AA"/>
    <w:rsid w:val="004074FF"/>
    <w:rsid w:val="004144E7"/>
    <w:rsid w:val="004165DD"/>
    <w:rsid w:val="004169CE"/>
    <w:rsid w:val="00417B1E"/>
    <w:rsid w:val="00423C24"/>
    <w:rsid w:val="0042779A"/>
    <w:rsid w:val="004325A3"/>
    <w:rsid w:val="00446619"/>
    <w:rsid w:val="00446FDF"/>
    <w:rsid w:val="0045085F"/>
    <w:rsid w:val="00451445"/>
    <w:rsid w:val="00451CB6"/>
    <w:rsid w:val="004526D4"/>
    <w:rsid w:val="00454B2C"/>
    <w:rsid w:val="00454FFB"/>
    <w:rsid w:val="00457843"/>
    <w:rsid w:val="00462A2F"/>
    <w:rsid w:val="00466631"/>
    <w:rsid w:val="0046775D"/>
    <w:rsid w:val="0047001A"/>
    <w:rsid w:val="004730D1"/>
    <w:rsid w:val="0047663A"/>
    <w:rsid w:val="0048061A"/>
    <w:rsid w:val="00480626"/>
    <w:rsid w:val="0048146A"/>
    <w:rsid w:val="00486C1A"/>
    <w:rsid w:val="00493C10"/>
    <w:rsid w:val="00496D19"/>
    <w:rsid w:val="004A0D30"/>
    <w:rsid w:val="004A53DF"/>
    <w:rsid w:val="004B0458"/>
    <w:rsid w:val="004B253C"/>
    <w:rsid w:val="004B3041"/>
    <w:rsid w:val="004B5FF2"/>
    <w:rsid w:val="004B664A"/>
    <w:rsid w:val="004B7235"/>
    <w:rsid w:val="004C3EBF"/>
    <w:rsid w:val="004C4EA0"/>
    <w:rsid w:val="004C6440"/>
    <w:rsid w:val="004C72E3"/>
    <w:rsid w:val="004C7B9C"/>
    <w:rsid w:val="004D12F3"/>
    <w:rsid w:val="004D173C"/>
    <w:rsid w:val="004D17C2"/>
    <w:rsid w:val="004D4291"/>
    <w:rsid w:val="004D55B1"/>
    <w:rsid w:val="004D67F2"/>
    <w:rsid w:val="004E0312"/>
    <w:rsid w:val="004E37C8"/>
    <w:rsid w:val="004E3903"/>
    <w:rsid w:val="004E58D0"/>
    <w:rsid w:val="004E5A32"/>
    <w:rsid w:val="004E5DAE"/>
    <w:rsid w:val="004E725E"/>
    <w:rsid w:val="004F0636"/>
    <w:rsid w:val="004F3466"/>
    <w:rsid w:val="004F3CB2"/>
    <w:rsid w:val="004F3D88"/>
    <w:rsid w:val="004F4BCE"/>
    <w:rsid w:val="004F5636"/>
    <w:rsid w:val="00500744"/>
    <w:rsid w:val="00503ADB"/>
    <w:rsid w:val="0050697B"/>
    <w:rsid w:val="00506D70"/>
    <w:rsid w:val="005071A6"/>
    <w:rsid w:val="00507B64"/>
    <w:rsid w:val="00510B25"/>
    <w:rsid w:val="00510C6A"/>
    <w:rsid w:val="0051145C"/>
    <w:rsid w:val="00511574"/>
    <w:rsid w:val="00513FDA"/>
    <w:rsid w:val="0051526D"/>
    <w:rsid w:val="0051568C"/>
    <w:rsid w:val="0051594F"/>
    <w:rsid w:val="005250CE"/>
    <w:rsid w:val="00527295"/>
    <w:rsid w:val="00531A10"/>
    <w:rsid w:val="005336C6"/>
    <w:rsid w:val="005348F7"/>
    <w:rsid w:val="00536BE5"/>
    <w:rsid w:val="00540E33"/>
    <w:rsid w:val="00542349"/>
    <w:rsid w:val="00543B19"/>
    <w:rsid w:val="00544BCB"/>
    <w:rsid w:val="00547D71"/>
    <w:rsid w:val="00553E12"/>
    <w:rsid w:val="00554DBC"/>
    <w:rsid w:val="00555E03"/>
    <w:rsid w:val="005607FA"/>
    <w:rsid w:val="00562BB2"/>
    <w:rsid w:val="00564F59"/>
    <w:rsid w:val="005657C2"/>
    <w:rsid w:val="005669E2"/>
    <w:rsid w:val="005810E4"/>
    <w:rsid w:val="00581DBC"/>
    <w:rsid w:val="005826C6"/>
    <w:rsid w:val="00584614"/>
    <w:rsid w:val="00586CC4"/>
    <w:rsid w:val="00591798"/>
    <w:rsid w:val="00591BAC"/>
    <w:rsid w:val="00592ED0"/>
    <w:rsid w:val="00594D4F"/>
    <w:rsid w:val="00594E96"/>
    <w:rsid w:val="005951EF"/>
    <w:rsid w:val="00596C80"/>
    <w:rsid w:val="005A098D"/>
    <w:rsid w:val="005A2EF6"/>
    <w:rsid w:val="005A4972"/>
    <w:rsid w:val="005A639E"/>
    <w:rsid w:val="005B2EA7"/>
    <w:rsid w:val="005B30EB"/>
    <w:rsid w:val="005B3DEF"/>
    <w:rsid w:val="005B7151"/>
    <w:rsid w:val="005B76A0"/>
    <w:rsid w:val="005B7FAE"/>
    <w:rsid w:val="005C225C"/>
    <w:rsid w:val="005C23E6"/>
    <w:rsid w:val="005D0284"/>
    <w:rsid w:val="005D57C7"/>
    <w:rsid w:val="005D6AA3"/>
    <w:rsid w:val="005D7C30"/>
    <w:rsid w:val="005E3D55"/>
    <w:rsid w:val="005E59CD"/>
    <w:rsid w:val="005E6AA6"/>
    <w:rsid w:val="005F13AF"/>
    <w:rsid w:val="005F3D69"/>
    <w:rsid w:val="005F5FDB"/>
    <w:rsid w:val="005F7C6B"/>
    <w:rsid w:val="0060380A"/>
    <w:rsid w:val="00606DC8"/>
    <w:rsid w:val="00611087"/>
    <w:rsid w:val="0061361E"/>
    <w:rsid w:val="006156B8"/>
    <w:rsid w:val="006206C8"/>
    <w:rsid w:val="006218AD"/>
    <w:rsid w:val="006230CB"/>
    <w:rsid w:val="00623EEF"/>
    <w:rsid w:val="00625E45"/>
    <w:rsid w:val="006309B0"/>
    <w:rsid w:val="00632231"/>
    <w:rsid w:val="00634983"/>
    <w:rsid w:val="006379E7"/>
    <w:rsid w:val="0064593F"/>
    <w:rsid w:val="006463B4"/>
    <w:rsid w:val="00646FC3"/>
    <w:rsid w:val="00650230"/>
    <w:rsid w:val="006526A1"/>
    <w:rsid w:val="00656750"/>
    <w:rsid w:val="006611BB"/>
    <w:rsid w:val="00667EEB"/>
    <w:rsid w:val="0067526A"/>
    <w:rsid w:val="00675346"/>
    <w:rsid w:val="00676FC0"/>
    <w:rsid w:val="00677210"/>
    <w:rsid w:val="006801AD"/>
    <w:rsid w:val="0068105F"/>
    <w:rsid w:val="006814AA"/>
    <w:rsid w:val="006819FD"/>
    <w:rsid w:val="00687B5A"/>
    <w:rsid w:val="00690073"/>
    <w:rsid w:val="00690635"/>
    <w:rsid w:val="006914D5"/>
    <w:rsid w:val="006929B0"/>
    <w:rsid w:val="00693187"/>
    <w:rsid w:val="00694781"/>
    <w:rsid w:val="00695461"/>
    <w:rsid w:val="00697B24"/>
    <w:rsid w:val="006A3161"/>
    <w:rsid w:val="006A51DF"/>
    <w:rsid w:val="006A5257"/>
    <w:rsid w:val="006A6CC5"/>
    <w:rsid w:val="006A7230"/>
    <w:rsid w:val="006B157B"/>
    <w:rsid w:val="006B2661"/>
    <w:rsid w:val="006B3845"/>
    <w:rsid w:val="006B38D3"/>
    <w:rsid w:val="006B4046"/>
    <w:rsid w:val="006B53EF"/>
    <w:rsid w:val="006B74E7"/>
    <w:rsid w:val="006B781F"/>
    <w:rsid w:val="006C22EC"/>
    <w:rsid w:val="006C4DA4"/>
    <w:rsid w:val="006C51B1"/>
    <w:rsid w:val="006C6748"/>
    <w:rsid w:val="006C76C4"/>
    <w:rsid w:val="006D01EB"/>
    <w:rsid w:val="006D0E6C"/>
    <w:rsid w:val="006D1F40"/>
    <w:rsid w:val="006D2713"/>
    <w:rsid w:val="006D3135"/>
    <w:rsid w:val="006D6125"/>
    <w:rsid w:val="006D734B"/>
    <w:rsid w:val="006E4A05"/>
    <w:rsid w:val="006E6E55"/>
    <w:rsid w:val="006E7C07"/>
    <w:rsid w:val="006F262D"/>
    <w:rsid w:val="00703237"/>
    <w:rsid w:val="00706469"/>
    <w:rsid w:val="007077B6"/>
    <w:rsid w:val="00710091"/>
    <w:rsid w:val="0071141E"/>
    <w:rsid w:val="007212A8"/>
    <w:rsid w:val="007239D1"/>
    <w:rsid w:val="007305B8"/>
    <w:rsid w:val="0073744F"/>
    <w:rsid w:val="007409D0"/>
    <w:rsid w:val="007413AE"/>
    <w:rsid w:val="00742A92"/>
    <w:rsid w:val="0074489D"/>
    <w:rsid w:val="0075034A"/>
    <w:rsid w:val="00754C99"/>
    <w:rsid w:val="007569C2"/>
    <w:rsid w:val="00756CB7"/>
    <w:rsid w:val="00765301"/>
    <w:rsid w:val="00766E49"/>
    <w:rsid w:val="00770622"/>
    <w:rsid w:val="0077724E"/>
    <w:rsid w:val="0078024A"/>
    <w:rsid w:val="00780A01"/>
    <w:rsid w:val="00785004"/>
    <w:rsid w:val="0078621A"/>
    <w:rsid w:val="0079228C"/>
    <w:rsid w:val="007954E7"/>
    <w:rsid w:val="00796876"/>
    <w:rsid w:val="007A1C9A"/>
    <w:rsid w:val="007A2E0C"/>
    <w:rsid w:val="007A325B"/>
    <w:rsid w:val="007B0C88"/>
    <w:rsid w:val="007B4794"/>
    <w:rsid w:val="007C074E"/>
    <w:rsid w:val="007C24ED"/>
    <w:rsid w:val="007C330F"/>
    <w:rsid w:val="007C6D84"/>
    <w:rsid w:val="007D343B"/>
    <w:rsid w:val="007D77A6"/>
    <w:rsid w:val="007E0DED"/>
    <w:rsid w:val="007E19A0"/>
    <w:rsid w:val="007E26DE"/>
    <w:rsid w:val="007E3D03"/>
    <w:rsid w:val="007F4442"/>
    <w:rsid w:val="007F6088"/>
    <w:rsid w:val="007F7673"/>
    <w:rsid w:val="00800389"/>
    <w:rsid w:val="00801100"/>
    <w:rsid w:val="00801911"/>
    <w:rsid w:val="00812DA9"/>
    <w:rsid w:val="00815E94"/>
    <w:rsid w:val="00817C75"/>
    <w:rsid w:val="0082084C"/>
    <w:rsid w:val="008225D5"/>
    <w:rsid w:val="00823B8E"/>
    <w:rsid w:val="00824973"/>
    <w:rsid w:val="0082525E"/>
    <w:rsid w:val="00826C12"/>
    <w:rsid w:val="0082795A"/>
    <w:rsid w:val="008300EF"/>
    <w:rsid w:val="00830EF1"/>
    <w:rsid w:val="00830F2F"/>
    <w:rsid w:val="00833EFD"/>
    <w:rsid w:val="00834D34"/>
    <w:rsid w:val="00835E89"/>
    <w:rsid w:val="00841FA2"/>
    <w:rsid w:val="00843491"/>
    <w:rsid w:val="00846CD8"/>
    <w:rsid w:val="00847318"/>
    <w:rsid w:val="00854446"/>
    <w:rsid w:val="00855CF1"/>
    <w:rsid w:val="0085764C"/>
    <w:rsid w:val="00857B73"/>
    <w:rsid w:val="00860EC1"/>
    <w:rsid w:val="008615B2"/>
    <w:rsid w:val="00863FA7"/>
    <w:rsid w:val="008671C8"/>
    <w:rsid w:val="00867308"/>
    <w:rsid w:val="00867D88"/>
    <w:rsid w:val="008870EC"/>
    <w:rsid w:val="00887468"/>
    <w:rsid w:val="00887597"/>
    <w:rsid w:val="008900F3"/>
    <w:rsid w:val="0089248D"/>
    <w:rsid w:val="00893E15"/>
    <w:rsid w:val="008957C8"/>
    <w:rsid w:val="00897E73"/>
    <w:rsid w:val="008A089E"/>
    <w:rsid w:val="008A6C77"/>
    <w:rsid w:val="008A7505"/>
    <w:rsid w:val="008A7518"/>
    <w:rsid w:val="008B0A00"/>
    <w:rsid w:val="008B5BD9"/>
    <w:rsid w:val="008C56ED"/>
    <w:rsid w:val="008C5AEC"/>
    <w:rsid w:val="008C63CA"/>
    <w:rsid w:val="008D157D"/>
    <w:rsid w:val="008D1690"/>
    <w:rsid w:val="008D3CDB"/>
    <w:rsid w:val="008E1154"/>
    <w:rsid w:val="008E1156"/>
    <w:rsid w:val="008E34BB"/>
    <w:rsid w:val="008E5F7A"/>
    <w:rsid w:val="008F11F6"/>
    <w:rsid w:val="008F3DFF"/>
    <w:rsid w:val="008F5A64"/>
    <w:rsid w:val="008F7D59"/>
    <w:rsid w:val="009049F8"/>
    <w:rsid w:val="009137D1"/>
    <w:rsid w:val="0091418A"/>
    <w:rsid w:val="00923EE8"/>
    <w:rsid w:val="00925E2C"/>
    <w:rsid w:val="00927368"/>
    <w:rsid w:val="00931715"/>
    <w:rsid w:val="009334DE"/>
    <w:rsid w:val="009349D2"/>
    <w:rsid w:val="00940DAE"/>
    <w:rsid w:val="00941ACF"/>
    <w:rsid w:val="00942724"/>
    <w:rsid w:val="009464AE"/>
    <w:rsid w:val="009516FA"/>
    <w:rsid w:val="0095460B"/>
    <w:rsid w:val="009555F9"/>
    <w:rsid w:val="00960FCE"/>
    <w:rsid w:val="00962E4F"/>
    <w:rsid w:val="00966D27"/>
    <w:rsid w:val="00974D25"/>
    <w:rsid w:val="00975675"/>
    <w:rsid w:val="0098398D"/>
    <w:rsid w:val="00987F6A"/>
    <w:rsid w:val="00992DA9"/>
    <w:rsid w:val="0099748A"/>
    <w:rsid w:val="009A2FB3"/>
    <w:rsid w:val="009A36B5"/>
    <w:rsid w:val="009A3FD9"/>
    <w:rsid w:val="009A689A"/>
    <w:rsid w:val="009A7066"/>
    <w:rsid w:val="009A76D0"/>
    <w:rsid w:val="009B011E"/>
    <w:rsid w:val="009B0326"/>
    <w:rsid w:val="009B0DF3"/>
    <w:rsid w:val="009B16BB"/>
    <w:rsid w:val="009C243C"/>
    <w:rsid w:val="009C51AA"/>
    <w:rsid w:val="009C6899"/>
    <w:rsid w:val="009C6C9D"/>
    <w:rsid w:val="009C6CD0"/>
    <w:rsid w:val="009C7060"/>
    <w:rsid w:val="009C7AAC"/>
    <w:rsid w:val="009D048A"/>
    <w:rsid w:val="009D0E42"/>
    <w:rsid w:val="009E043B"/>
    <w:rsid w:val="009F1DA6"/>
    <w:rsid w:val="009F2E7C"/>
    <w:rsid w:val="009F3D13"/>
    <w:rsid w:val="00A01DE8"/>
    <w:rsid w:val="00A02888"/>
    <w:rsid w:val="00A028BE"/>
    <w:rsid w:val="00A028D2"/>
    <w:rsid w:val="00A05E67"/>
    <w:rsid w:val="00A06023"/>
    <w:rsid w:val="00A06D71"/>
    <w:rsid w:val="00A07F22"/>
    <w:rsid w:val="00A10827"/>
    <w:rsid w:val="00A1265E"/>
    <w:rsid w:val="00A13A98"/>
    <w:rsid w:val="00A20586"/>
    <w:rsid w:val="00A2189A"/>
    <w:rsid w:val="00A23DDD"/>
    <w:rsid w:val="00A244B1"/>
    <w:rsid w:val="00A276EA"/>
    <w:rsid w:val="00A370D9"/>
    <w:rsid w:val="00A3746E"/>
    <w:rsid w:val="00A40823"/>
    <w:rsid w:val="00A41D4E"/>
    <w:rsid w:val="00A42631"/>
    <w:rsid w:val="00A47871"/>
    <w:rsid w:val="00A47EC6"/>
    <w:rsid w:val="00A600A1"/>
    <w:rsid w:val="00A602D4"/>
    <w:rsid w:val="00A60839"/>
    <w:rsid w:val="00A60A0E"/>
    <w:rsid w:val="00A60B00"/>
    <w:rsid w:val="00A62BCB"/>
    <w:rsid w:val="00A645EE"/>
    <w:rsid w:val="00A72195"/>
    <w:rsid w:val="00A73EC3"/>
    <w:rsid w:val="00A76D6A"/>
    <w:rsid w:val="00A77DB3"/>
    <w:rsid w:val="00A81A70"/>
    <w:rsid w:val="00A8306A"/>
    <w:rsid w:val="00A86945"/>
    <w:rsid w:val="00A92126"/>
    <w:rsid w:val="00A93129"/>
    <w:rsid w:val="00A93A57"/>
    <w:rsid w:val="00A97959"/>
    <w:rsid w:val="00AA3521"/>
    <w:rsid w:val="00AB2E93"/>
    <w:rsid w:val="00AB4114"/>
    <w:rsid w:val="00AC030E"/>
    <w:rsid w:val="00AC08E6"/>
    <w:rsid w:val="00AC2F8F"/>
    <w:rsid w:val="00AC33D1"/>
    <w:rsid w:val="00AC5E29"/>
    <w:rsid w:val="00AC6991"/>
    <w:rsid w:val="00AC6BC4"/>
    <w:rsid w:val="00AD0A04"/>
    <w:rsid w:val="00AD1D26"/>
    <w:rsid w:val="00AE24E5"/>
    <w:rsid w:val="00AE409B"/>
    <w:rsid w:val="00AE4373"/>
    <w:rsid w:val="00AE642D"/>
    <w:rsid w:val="00AE69EF"/>
    <w:rsid w:val="00AE6D06"/>
    <w:rsid w:val="00AF152D"/>
    <w:rsid w:val="00AF6F82"/>
    <w:rsid w:val="00AF7403"/>
    <w:rsid w:val="00AF78B0"/>
    <w:rsid w:val="00B011BF"/>
    <w:rsid w:val="00B0715D"/>
    <w:rsid w:val="00B14D94"/>
    <w:rsid w:val="00B26FA3"/>
    <w:rsid w:val="00B30445"/>
    <w:rsid w:val="00B321F8"/>
    <w:rsid w:val="00B3384D"/>
    <w:rsid w:val="00B3718B"/>
    <w:rsid w:val="00B40D9F"/>
    <w:rsid w:val="00B43ADE"/>
    <w:rsid w:val="00B478F3"/>
    <w:rsid w:val="00B50167"/>
    <w:rsid w:val="00B508AC"/>
    <w:rsid w:val="00B524BB"/>
    <w:rsid w:val="00B53AA6"/>
    <w:rsid w:val="00B53F6B"/>
    <w:rsid w:val="00B54A0C"/>
    <w:rsid w:val="00B5509D"/>
    <w:rsid w:val="00B63A23"/>
    <w:rsid w:val="00B72FB1"/>
    <w:rsid w:val="00B758DA"/>
    <w:rsid w:val="00B770DB"/>
    <w:rsid w:val="00B779A0"/>
    <w:rsid w:val="00B82F07"/>
    <w:rsid w:val="00B83B02"/>
    <w:rsid w:val="00B872B5"/>
    <w:rsid w:val="00B9103C"/>
    <w:rsid w:val="00B93BDC"/>
    <w:rsid w:val="00B9409E"/>
    <w:rsid w:val="00B977FD"/>
    <w:rsid w:val="00BA03FF"/>
    <w:rsid w:val="00BA2425"/>
    <w:rsid w:val="00BA2652"/>
    <w:rsid w:val="00BA2F5A"/>
    <w:rsid w:val="00BA59AA"/>
    <w:rsid w:val="00BA7793"/>
    <w:rsid w:val="00BB6B8C"/>
    <w:rsid w:val="00BC35E8"/>
    <w:rsid w:val="00BC6F1E"/>
    <w:rsid w:val="00BD0A93"/>
    <w:rsid w:val="00BD33C3"/>
    <w:rsid w:val="00BD5A05"/>
    <w:rsid w:val="00BD741F"/>
    <w:rsid w:val="00BD7E7C"/>
    <w:rsid w:val="00BD7F00"/>
    <w:rsid w:val="00BE277E"/>
    <w:rsid w:val="00BE3978"/>
    <w:rsid w:val="00BE64BF"/>
    <w:rsid w:val="00BE6D97"/>
    <w:rsid w:val="00BE79A0"/>
    <w:rsid w:val="00BF09DF"/>
    <w:rsid w:val="00BF2503"/>
    <w:rsid w:val="00BF542D"/>
    <w:rsid w:val="00C1340F"/>
    <w:rsid w:val="00C17323"/>
    <w:rsid w:val="00C2692B"/>
    <w:rsid w:val="00C273CE"/>
    <w:rsid w:val="00C31317"/>
    <w:rsid w:val="00C340E4"/>
    <w:rsid w:val="00C349BA"/>
    <w:rsid w:val="00C35374"/>
    <w:rsid w:val="00C360DD"/>
    <w:rsid w:val="00C37947"/>
    <w:rsid w:val="00C41C4C"/>
    <w:rsid w:val="00C5144E"/>
    <w:rsid w:val="00C53427"/>
    <w:rsid w:val="00C53813"/>
    <w:rsid w:val="00C53F0B"/>
    <w:rsid w:val="00C54A38"/>
    <w:rsid w:val="00C60019"/>
    <w:rsid w:val="00C60B7B"/>
    <w:rsid w:val="00C60E44"/>
    <w:rsid w:val="00C638F0"/>
    <w:rsid w:val="00C66ADB"/>
    <w:rsid w:val="00C720F0"/>
    <w:rsid w:val="00C738D7"/>
    <w:rsid w:val="00C74731"/>
    <w:rsid w:val="00C829A9"/>
    <w:rsid w:val="00C857E4"/>
    <w:rsid w:val="00C867BB"/>
    <w:rsid w:val="00C94CD0"/>
    <w:rsid w:val="00C956D6"/>
    <w:rsid w:val="00C95B8D"/>
    <w:rsid w:val="00CA0BD4"/>
    <w:rsid w:val="00CA5E23"/>
    <w:rsid w:val="00CB0729"/>
    <w:rsid w:val="00CB1FCB"/>
    <w:rsid w:val="00CB58FB"/>
    <w:rsid w:val="00CC123B"/>
    <w:rsid w:val="00CC2E5B"/>
    <w:rsid w:val="00CC3600"/>
    <w:rsid w:val="00CD2C3B"/>
    <w:rsid w:val="00CD6B18"/>
    <w:rsid w:val="00CD781A"/>
    <w:rsid w:val="00CE25C3"/>
    <w:rsid w:val="00CE26AF"/>
    <w:rsid w:val="00CE3C14"/>
    <w:rsid w:val="00CE6C0D"/>
    <w:rsid w:val="00CE7C3E"/>
    <w:rsid w:val="00CF1C39"/>
    <w:rsid w:val="00CF2AA5"/>
    <w:rsid w:val="00CF3E2B"/>
    <w:rsid w:val="00D10C04"/>
    <w:rsid w:val="00D1480B"/>
    <w:rsid w:val="00D17BBC"/>
    <w:rsid w:val="00D23B06"/>
    <w:rsid w:val="00D24060"/>
    <w:rsid w:val="00D25955"/>
    <w:rsid w:val="00D318FF"/>
    <w:rsid w:val="00D31B7F"/>
    <w:rsid w:val="00D35406"/>
    <w:rsid w:val="00D3760D"/>
    <w:rsid w:val="00D37F91"/>
    <w:rsid w:val="00D43710"/>
    <w:rsid w:val="00D45E59"/>
    <w:rsid w:val="00D47AD4"/>
    <w:rsid w:val="00D47C0B"/>
    <w:rsid w:val="00D511C7"/>
    <w:rsid w:val="00D577CB"/>
    <w:rsid w:val="00D62912"/>
    <w:rsid w:val="00D711DF"/>
    <w:rsid w:val="00D715C6"/>
    <w:rsid w:val="00D7558D"/>
    <w:rsid w:val="00D756C1"/>
    <w:rsid w:val="00D805C8"/>
    <w:rsid w:val="00D81ADA"/>
    <w:rsid w:val="00D87084"/>
    <w:rsid w:val="00D90397"/>
    <w:rsid w:val="00D904E0"/>
    <w:rsid w:val="00D933CF"/>
    <w:rsid w:val="00D93C41"/>
    <w:rsid w:val="00D94037"/>
    <w:rsid w:val="00D9492D"/>
    <w:rsid w:val="00D96EA3"/>
    <w:rsid w:val="00DA0BAD"/>
    <w:rsid w:val="00DA2A66"/>
    <w:rsid w:val="00DA5E0B"/>
    <w:rsid w:val="00DB27BF"/>
    <w:rsid w:val="00DB2E3F"/>
    <w:rsid w:val="00DB6C9B"/>
    <w:rsid w:val="00DC04C3"/>
    <w:rsid w:val="00DC059C"/>
    <w:rsid w:val="00DC1B12"/>
    <w:rsid w:val="00DC56E7"/>
    <w:rsid w:val="00DD3329"/>
    <w:rsid w:val="00DD4245"/>
    <w:rsid w:val="00DD666C"/>
    <w:rsid w:val="00DE0B8C"/>
    <w:rsid w:val="00DE2570"/>
    <w:rsid w:val="00DE27C8"/>
    <w:rsid w:val="00DE32CE"/>
    <w:rsid w:val="00DE70FA"/>
    <w:rsid w:val="00DE7F66"/>
    <w:rsid w:val="00DF0A88"/>
    <w:rsid w:val="00DF16D2"/>
    <w:rsid w:val="00DF2716"/>
    <w:rsid w:val="00DF30CC"/>
    <w:rsid w:val="00DF42C7"/>
    <w:rsid w:val="00E00B63"/>
    <w:rsid w:val="00E01881"/>
    <w:rsid w:val="00E04663"/>
    <w:rsid w:val="00E075EA"/>
    <w:rsid w:val="00E21BB9"/>
    <w:rsid w:val="00E239E5"/>
    <w:rsid w:val="00E23BDE"/>
    <w:rsid w:val="00E2580F"/>
    <w:rsid w:val="00E26DF1"/>
    <w:rsid w:val="00E36CDB"/>
    <w:rsid w:val="00E37792"/>
    <w:rsid w:val="00E37898"/>
    <w:rsid w:val="00E40020"/>
    <w:rsid w:val="00E416CD"/>
    <w:rsid w:val="00E42845"/>
    <w:rsid w:val="00E43409"/>
    <w:rsid w:val="00E43B01"/>
    <w:rsid w:val="00E453FC"/>
    <w:rsid w:val="00E5402C"/>
    <w:rsid w:val="00E56472"/>
    <w:rsid w:val="00E57AC0"/>
    <w:rsid w:val="00E63C14"/>
    <w:rsid w:val="00E736D6"/>
    <w:rsid w:val="00E82A97"/>
    <w:rsid w:val="00E835EC"/>
    <w:rsid w:val="00E8435A"/>
    <w:rsid w:val="00E85878"/>
    <w:rsid w:val="00E878DE"/>
    <w:rsid w:val="00E87975"/>
    <w:rsid w:val="00E946A6"/>
    <w:rsid w:val="00E954D5"/>
    <w:rsid w:val="00E95BD7"/>
    <w:rsid w:val="00E95E9C"/>
    <w:rsid w:val="00E96DDC"/>
    <w:rsid w:val="00EA09D1"/>
    <w:rsid w:val="00EA24E8"/>
    <w:rsid w:val="00EA3C41"/>
    <w:rsid w:val="00EA5218"/>
    <w:rsid w:val="00EB25F8"/>
    <w:rsid w:val="00EB2B97"/>
    <w:rsid w:val="00EC1F61"/>
    <w:rsid w:val="00EC4617"/>
    <w:rsid w:val="00EC6CC7"/>
    <w:rsid w:val="00ED0A97"/>
    <w:rsid w:val="00ED33C8"/>
    <w:rsid w:val="00ED3CD0"/>
    <w:rsid w:val="00EE260B"/>
    <w:rsid w:val="00EE473A"/>
    <w:rsid w:val="00EE6CD5"/>
    <w:rsid w:val="00EF23B5"/>
    <w:rsid w:val="00EF24CE"/>
    <w:rsid w:val="00EF4968"/>
    <w:rsid w:val="00EF7271"/>
    <w:rsid w:val="00EF7A07"/>
    <w:rsid w:val="00F04670"/>
    <w:rsid w:val="00F04F8F"/>
    <w:rsid w:val="00F1167F"/>
    <w:rsid w:val="00F11CF4"/>
    <w:rsid w:val="00F11FFC"/>
    <w:rsid w:val="00F1305F"/>
    <w:rsid w:val="00F134D2"/>
    <w:rsid w:val="00F22FCD"/>
    <w:rsid w:val="00F243C6"/>
    <w:rsid w:val="00F27E23"/>
    <w:rsid w:val="00F3244A"/>
    <w:rsid w:val="00F328F5"/>
    <w:rsid w:val="00F34BA3"/>
    <w:rsid w:val="00F372B9"/>
    <w:rsid w:val="00F41519"/>
    <w:rsid w:val="00F44545"/>
    <w:rsid w:val="00F45026"/>
    <w:rsid w:val="00F50469"/>
    <w:rsid w:val="00F50DD6"/>
    <w:rsid w:val="00F5250F"/>
    <w:rsid w:val="00F61459"/>
    <w:rsid w:val="00F628D4"/>
    <w:rsid w:val="00F63723"/>
    <w:rsid w:val="00F645B1"/>
    <w:rsid w:val="00F67C24"/>
    <w:rsid w:val="00F70AFD"/>
    <w:rsid w:val="00F74556"/>
    <w:rsid w:val="00F77AEC"/>
    <w:rsid w:val="00F820B7"/>
    <w:rsid w:val="00F84EBC"/>
    <w:rsid w:val="00F86419"/>
    <w:rsid w:val="00F92066"/>
    <w:rsid w:val="00F9401C"/>
    <w:rsid w:val="00F964F3"/>
    <w:rsid w:val="00FA0D1D"/>
    <w:rsid w:val="00FA7ED6"/>
    <w:rsid w:val="00FB255D"/>
    <w:rsid w:val="00FB27B3"/>
    <w:rsid w:val="00FB2BE8"/>
    <w:rsid w:val="00FB65A2"/>
    <w:rsid w:val="00FC0059"/>
    <w:rsid w:val="00FC3A4F"/>
    <w:rsid w:val="00FC6DFC"/>
    <w:rsid w:val="00FD2A7A"/>
    <w:rsid w:val="00FD4616"/>
    <w:rsid w:val="00FD4CF2"/>
    <w:rsid w:val="00FD5046"/>
    <w:rsid w:val="00FE02A3"/>
    <w:rsid w:val="00FE0915"/>
    <w:rsid w:val="00FE32E4"/>
    <w:rsid w:val="00FE5389"/>
    <w:rsid w:val="00FE59E5"/>
    <w:rsid w:val="00FF012A"/>
    <w:rsid w:val="00FF322F"/>
    <w:rsid w:val="00FF52A6"/>
    <w:rsid w:val="151903CD"/>
    <w:rsid w:val="33002277"/>
    <w:rsid w:val="34621989"/>
    <w:rsid w:val="3A423C1E"/>
    <w:rsid w:val="57103A2E"/>
    <w:rsid w:val="66D55168"/>
    <w:rsid w:val="696F1D70"/>
    <w:rsid w:val="7A2859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2"/>
    </o:shapelayout>
  </w:shapeDefaults>
  <w:decimalSymbol w:val="."/>
  <w:listSeparator w:val=","/>
  <w14:docId w14:val="380B39E7"/>
  <w15:docId w15:val="{B280DB9A-830D-4C2F-A1E5-D251252C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nhideWhenUsed="1" w:qFormat="1"/>
    <w:lsdException w:name="header" w:qFormat="1"/>
    <w:lsdException w:name="footer" w:uiPriority="99"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b">
    <w:name w:val="Normal"/>
    <w:qFormat/>
    <w:pPr>
      <w:widowControl w:val="0"/>
      <w:jc w:val="both"/>
    </w:pPr>
    <w:rPr>
      <w:kern w:val="2"/>
      <w:sz w:val="21"/>
      <w:szCs w:val="24"/>
    </w:rPr>
  </w:style>
  <w:style w:type="paragraph" w:styleId="1">
    <w:name w:val="heading 1"/>
    <w:basedOn w:val="ab"/>
    <w:next w:val="ab"/>
    <w:link w:val="10"/>
    <w:qFormat/>
    <w:rsid w:val="00830F2F"/>
    <w:pPr>
      <w:keepNext/>
      <w:keepLines/>
      <w:spacing w:line="578" w:lineRule="auto"/>
      <w:outlineLvl w:val="0"/>
    </w:pPr>
    <w:rPr>
      <w:rFonts w:asciiTheme="majorEastAsia" w:hAnsiTheme="majorEastAsia"/>
      <w:b/>
      <w:bCs/>
      <w:kern w:val="44"/>
      <w:sz w:val="28"/>
      <w:szCs w:val="44"/>
    </w:rPr>
  </w:style>
  <w:style w:type="paragraph" w:styleId="2">
    <w:name w:val="heading 2"/>
    <w:basedOn w:val="ab"/>
    <w:next w:val="ab"/>
    <w:link w:val="20"/>
    <w:unhideWhenUsed/>
    <w:qFormat/>
    <w:rsid w:val="00830F2F"/>
    <w:pPr>
      <w:keepNext/>
      <w:keepLines/>
      <w:spacing w:before="120" w:after="120" w:line="415" w:lineRule="auto"/>
      <w:outlineLvl w:val="1"/>
    </w:pPr>
    <w:rPr>
      <w:b/>
      <w:bCs/>
      <w:sz w:val="24"/>
      <w:szCs w:val="32"/>
    </w:rPr>
  </w:style>
  <w:style w:type="paragraph" w:styleId="3">
    <w:name w:val="heading 3"/>
    <w:basedOn w:val="ab"/>
    <w:next w:val="ab"/>
    <w:link w:val="30"/>
    <w:unhideWhenUsed/>
    <w:qFormat/>
    <w:rsid w:val="00830F2F"/>
    <w:pPr>
      <w:keepNext/>
      <w:keepLines/>
      <w:spacing w:before="120" w:after="120" w:line="415" w:lineRule="auto"/>
      <w:ind w:leftChars="200" w:left="200"/>
      <w:outlineLvl w:val="2"/>
    </w:pPr>
    <w:rPr>
      <w:b/>
      <w:bCs/>
      <w:sz w:val="24"/>
      <w:szCs w:val="32"/>
    </w:rPr>
  </w:style>
  <w:style w:type="paragraph" w:styleId="4">
    <w:name w:val="heading 4"/>
    <w:basedOn w:val="ab"/>
    <w:next w:val="ab"/>
    <w:link w:val="40"/>
    <w:unhideWhenUsed/>
    <w:qFormat/>
    <w:pPr>
      <w:keepNext/>
      <w:keepLines/>
      <w:spacing w:before="280" w:after="290" w:line="376" w:lineRule="auto"/>
      <w:outlineLvl w:val="3"/>
    </w:pPr>
    <w:rPr>
      <w:rFonts w:ascii="Cambria" w:hAnsi="Cambria"/>
      <w:b/>
      <w:bCs/>
      <w:sz w:val="28"/>
      <w:szCs w:val="28"/>
    </w:rPr>
  </w:style>
  <w:style w:type="paragraph" w:styleId="5">
    <w:name w:val="heading 5"/>
    <w:basedOn w:val="ab"/>
    <w:next w:val="ab"/>
    <w:link w:val="50"/>
    <w:unhideWhenUsed/>
    <w:qFormat/>
    <w:pPr>
      <w:keepNext/>
      <w:keepLines/>
      <w:spacing w:before="280" w:after="290" w:line="376" w:lineRule="auto"/>
      <w:outlineLvl w:val="4"/>
    </w:pPr>
    <w:rPr>
      <w:b/>
      <w:bCs/>
      <w:sz w:val="28"/>
      <w:szCs w:val="28"/>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8">
    <w:name w:val="index 8"/>
    <w:basedOn w:val="ab"/>
    <w:next w:val="ab"/>
    <w:qFormat/>
    <w:pPr>
      <w:ind w:left="1680" w:hanging="210"/>
      <w:jc w:val="left"/>
    </w:pPr>
    <w:rPr>
      <w:rFonts w:ascii="Calibri" w:hAnsi="Calibri"/>
      <w:sz w:val="20"/>
      <w:szCs w:val="20"/>
    </w:rPr>
  </w:style>
  <w:style w:type="paragraph" w:styleId="af">
    <w:name w:val="caption"/>
    <w:basedOn w:val="ab"/>
    <w:next w:val="ab"/>
    <w:qFormat/>
    <w:pPr>
      <w:spacing w:before="152" w:after="160"/>
    </w:pPr>
    <w:rPr>
      <w:rFonts w:ascii="Arial" w:eastAsia="黑体" w:hAnsi="Arial" w:cs="Arial"/>
      <w:sz w:val="20"/>
      <w:szCs w:val="20"/>
    </w:rPr>
  </w:style>
  <w:style w:type="paragraph" w:styleId="51">
    <w:name w:val="index 5"/>
    <w:basedOn w:val="ab"/>
    <w:next w:val="ab"/>
    <w:qFormat/>
    <w:pPr>
      <w:ind w:left="1050" w:hanging="210"/>
      <w:jc w:val="left"/>
    </w:pPr>
    <w:rPr>
      <w:rFonts w:ascii="Calibri" w:hAnsi="Calibri"/>
      <w:sz w:val="20"/>
      <w:szCs w:val="20"/>
    </w:rPr>
  </w:style>
  <w:style w:type="paragraph" w:styleId="af0">
    <w:name w:val="annotation text"/>
    <w:basedOn w:val="ab"/>
    <w:link w:val="af1"/>
    <w:unhideWhenUsed/>
    <w:qFormat/>
    <w:pPr>
      <w:jc w:val="left"/>
    </w:pPr>
  </w:style>
  <w:style w:type="paragraph" w:styleId="6">
    <w:name w:val="index 6"/>
    <w:basedOn w:val="ab"/>
    <w:next w:val="ab"/>
    <w:qFormat/>
    <w:pPr>
      <w:ind w:left="1260" w:hanging="210"/>
      <w:jc w:val="left"/>
    </w:pPr>
    <w:rPr>
      <w:rFonts w:ascii="Calibri" w:hAnsi="Calibri"/>
      <w:sz w:val="20"/>
      <w:szCs w:val="20"/>
    </w:rPr>
  </w:style>
  <w:style w:type="paragraph" w:styleId="af2">
    <w:name w:val="Body Text Indent"/>
    <w:basedOn w:val="ab"/>
    <w:qFormat/>
    <w:pPr>
      <w:ind w:firstLine="570"/>
    </w:pPr>
    <w:rPr>
      <w:rFonts w:ascii="仿宋_GB2312" w:eastAsia="仿宋_GB2312"/>
      <w:sz w:val="28"/>
      <w:szCs w:val="20"/>
    </w:rPr>
  </w:style>
  <w:style w:type="paragraph" w:styleId="41">
    <w:name w:val="index 4"/>
    <w:basedOn w:val="ab"/>
    <w:next w:val="ab"/>
    <w:qFormat/>
    <w:pPr>
      <w:ind w:left="840" w:hanging="210"/>
      <w:jc w:val="left"/>
    </w:pPr>
    <w:rPr>
      <w:rFonts w:ascii="Calibri" w:hAnsi="Calibri"/>
      <w:sz w:val="20"/>
      <w:szCs w:val="20"/>
    </w:rPr>
  </w:style>
  <w:style w:type="paragraph" w:styleId="TOC3">
    <w:name w:val="toc 3"/>
    <w:basedOn w:val="ab"/>
    <w:next w:val="ab"/>
    <w:uiPriority w:val="39"/>
    <w:qFormat/>
    <w:pPr>
      <w:ind w:leftChars="400" w:left="840"/>
    </w:pPr>
  </w:style>
  <w:style w:type="paragraph" w:styleId="31">
    <w:name w:val="index 3"/>
    <w:basedOn w:val="ab"/>
    <w:next w:val="ab"/>
    <w:qFormat/>
    <w:pPr>
      <w:ind w:left="630" w:hanging="210"/>
      <w:jc w:val="left"/>
    </w:pPr>
    <w:rPr>
      <w:rFonts w:ascii="Calibri" w:hAnsi="Calibri"/>
      <w:sz w:val="20"/>
      <w:szCs w:val="20"/>
    </w:rPr>
  </w:style>
  <w:style w:type="paragraph" w:styleId="af3">
    <w:name w:val="Date"/>
    <w:basedOn w:val="ab"/>
    <w:next w:val="ab"/>
    <w:qFormat/>
    <w:pPr>
      <w:ind w:leftChars="2500" w:left="100"/>
    </w:pPr>
  </w:style>
  <w:style w:type="paragraph" w:styleId="af4">
    <w:name w:val="Balloon Text"/>
    <w:basedOn w:val="ab"/>
    <w:link w:val="af5"/>
    <w:qFormat/>
    <w:rPr>
      <w:sz w:val="18"/>
      <w:szCs w:val="18"/>
    </w:rPr>
  </w:style>
  <w:style w:type="paragraph" w:styleId="af6">
    <w:name w:val="footer"/>
    <w:basedOn w:val="ab"/>
    <w:link w:val="af7"/>
    <w:uiPriority w:val="99"/>
    <w:qFormat/>
    <w:pPr>
      <w:snapToGrid w:val="0"/>
      <w:ind w:rightChars="100" w:right="210"/>
      <w:jc w:val="right"/>
    </w:pPr>
    <w:rPr>
      <w:sz w:val="18"/>
      <w:szCs w:val="18"/>
    </w:rPr>
  </w:style>
  <w:style w:type="paragraph" w:styleId="af8">
    <w:name w:val="header"/>
    <w:basedOn w:val="ab"/>
    <w:link w:val="af9"/>
    <w:qFormat/>
    <w:pPr>
      <w:snapToGrid w:val="0"/>
      <w:jc w:val="left"/>
    </w:pPr>
    <w:rPr>
      <w:sz w:val="18"/>
      <w:szCs w:val="18"/>
    </w:rPr>
  </w:style>
  <w:style w:type="paragraph" w:styleId="TOC1">
    <w:name w:val="toc 1"/>
    <w:basedOn w:val="ab"/>
    <w:next w:val="ab"/>
    <w:uiPriority w:val="39"/>
    <w:qFormat/>
  </w:style>
  <w:style w:type="paragraph" w:styleId="afa">
    <w:name w:val="index heading"/>
    <w:basedOn w:val="ab"/>
    <w:next w:val="11"/>
    <w:qFormat/>
    <w:pPr>
      <w:spacing w:before="120" w:after="120"/>
      <w:jc w:val="center"/>
    </w:pPr>
    <w:rPr>
      <w:rFonts w:ascii="Calibri" w:hAnsi="Calibri"/>
      <w:b/>
      <w:bCs/>
      <w:iCs/>
      <w:szCs w:val="20"/>
    </w:rPr>
  </w:style>
  <w:style w:type="paragraph" w:styleId="11">
    <w:name w:val="index 1"/>
    <w:basedOn w:val="ab"/>
    <w:next w:val="afb"/>
    <w:qFormat/>
    <w:pPr>
      <w:tabs>
        <w:tab w:val="right" w:leader="dot" w:pos="9299"/>
      </w:tabs>
      <w:jc w:val="left"/>
    </w:pPr>
    <w:rPr>
      <w:rFonts w:ascii="宋体"/>
      <w:szCs w:val="21"/>
    </w:rPr>
  </w:style>
  <w:style w:type="paragraph" w:customStyle="1" w:styleId="afb">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fc">
    <w:name w:val="footnote text"/>
    <w:basedOn w:val="ab"/>
    <w:qFormat/>
    <w:pPr>
      <w:tabs>
        <w:tab w:val="left" w:pos="0"/>
      </w:tabs>
      <w:snapToGrid w:val="0"/>
      <w:ind w:left="720" w:hanging="357"/>
      <w:jc w:val="left"/>
    </w:pPr>
    <w:rPr>
      <w:rFonts w:ascii="宋体"/>
      <w:sz w:val="18"/>
      <w:szCs w:val="18"/>
    </w:rPr>
  </w:style>
  <w:style w:type="paragraph" w:styleId="7">
    <w:name w:val="index 7"/>
    <w:basedOn w:val="ab"/>
    <w:next w:val="ab"/>
    <w:qFormat/>
    <w:pPr>
      <w:ind w:left="1470" w:hanging="210"/>
      <w:jc w:val="left"/>
    </w:pPr>
    <w:rPr>
      <w:rFonts w:ascii="Calibri" w:hAnsi="Calibri"/>
      <w:sz w:val="20"/>
      <w:szCs w:val="20"/>
    </w:rPr>
  </w:style>
  <w:style w:type="paragraph" w:styleId="9">
    <w:name w:val="index 9"/>
    <w:basedOn w:val="ab"/>
    <w:next w:val="ab"/>
    <w:qFormat/>
    <w:pPr>
      <w:ind w:left="1890" w:hanging="210"/>
      <w:jc w:val="left"/>
    </w:pPr>
    <w:rPr>
      <w:rFonts w:ascii="Calibri" w:hAnsi="Calibri"/>
      <w:sz w:val="20"/>
      <w:szCs w:val="20"/>
    </w:rPr>
  </w:style>
  <w:style w:type="paragraph" w:styleId="TOC2">
    <w:name w:val="toc 2"/>
    <w:basedOn w:val="ab"/>
    <w:next w:val="ab"/>
    <w:uiPriority w:val="39"/>
    <w:qFormat/>
    <w:pPr>
      <w:ind w:leftChars="200" w:left="420"/>
    </w:pPr>
  </w:style>
  <w:style w:type="paragraph" w:styleId="HTML">
    <w:name w:val="HTML Preformatted"/>
    <w:basedOn w:val="ab"/>
    <w:qFormat/>
    <w:pPr>
      <w:tabs>
        <w:tab w:val="left" w:pos="360"/>
      </w:tabs>
    </w:pPr>
    <w:rPr>
      <w:rFonts w:ascii="Courier New" w:hAnsi="Courier New" w:cs="Courier New"/>
      <w:sz w:val="20"/>
      <w:szCs w:val="20"/>
    </w:rPr>
  </w:style>
  <w:style w:type="paragraph" w:styleId="afd">
    <w:name w:val="Normal (Web)"/>
    <w:basedOn w:val="ab"/>
    <w:uiPriority w:val="99"/>
    <w:unhideWhenUsed/>
    <w:qFormat/>
    <w:pPr>
      <w:widowControl/>
      <w:spacing w:before="100" w:beforeAutospacing="1" w:after="100" w:afterAutospacing="1"/>
      <w:jc w:val="left"/>
    </w:pPr>
    <w:rPr>
      <w:rFonts w:ascii="宋体" w:hAnsi="宋体" w:cs="宋体"/>
      <w:kern w:val="0"/>
      <w:sz w:val="24"/>
    </w:rPr>
  </w:style>
  <w:style w:type="paragraph" w:styleId="21">
    <w:name w:val="index 2"/>
    <w:basedOn w:val="ab"/>
    <w:next w:val="ab"/>
    <w:qFormat/>
    <w:pPr>
      <w:ind w:left="420" w:hanging="210"/>
      <w:jc w:val="left"/>
    </w:pPr>
    <w:rPr>
      <w:rFonts w:ascii="Calibri" w:hAnsi="Calibri"/>
      <w:sz w:val="20"/>
      <w:szCs w:val="20"/>
    </w:rPr>
  </w:style>
  <w:style w:type="paragraph" w:styleId="afe">
    <w:name w:val="annotation subject"/>
    <w:basedOn w:val="af0"/>
    <w:next w:val="af0"/>
    <w:link w:val="aff"/>
    <w:semiHidden/>
    <w:unhideWhenUsed/>
    <w:rPr>
      <w:b/>
      <w:bCs/>
    </w:rPr>
  </w:style>
  <w:style w:type="table" w:styleId="aff0">
    <w:name w:val="Table Grid"/>
    <w:basedOn w:val="ad"/>
    <w:uiPriority w:val="59"/>
    <w:qFormat/>
    <w:pPr>
      <w:numPr>
        <w:numId w:val="1"/>
      </w:numPr>
      <w:tabs>
        <w:tab w:val="left" w:pos="360"/>
        <w:tab w:val="left" w:pos="8875"/>
      </w:tabs>
      <w:ind w:left="0" w:firstLine="0"/>
    </w:pPr>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1">
    <w:name w:val="Strong"/>
    <w:uiPriority w:val="22"/>
    <w:qFormat/>
    <w:rPr>
      <w:b/>
      <w:bCs/>
    </w:rPr>
  </w:style>
  <w:style w:type="character" w:styleId="aff2">
    <w:name w:val="page number"/>
    <w:qFormat/>
    <w:rPr>
      <w:rFonts w:ascii="Times New Roman" w:eastAsia="宋体" w:hAnsi="Times New Roman"/>
      <w:sz w:val="18"/>
    </w:rPr>
  </w:style>
  <w:style w:type="character" w:styleId="aff3">
    <w:name w:val="Hyperlink"/>
    <w:uiPriority w:val="99"/>
    <w:qFormat/>
    <w:rPr>
      <w:color w:val="0000FF"/>
      <w:spacing w:val="0"/>
      <w:w w:val="100"/>
      <w:szCs w:val="21"/>
      <w:u w:val="single"/>
      <w:lang w:val="en-US" w:eastAsia="zh-CN"/>
    </w:rPr>
  </w:style>
  <w:style w:type="character" w:styleId="aff4">
    <w:name w:val="annotation reference"/>
    <w:basedOn w:val="ac"/>
    <w:uiPriority w:val="99"/>
    <w:semiHidden/>
    <w:unhideWhenUsed/>
    <w:qFormat/>
    <w:rPr>
      <w:sz w:val="21"/>
      <w:szCs w:val="21"/>
    </w:rPr>
  </w:style>
  <w:style w:type="character" w:customStyle="1" w:styleId="12">
    <w:name w:val="已访问的超链接1"/>
    <w:qFormat/>
    <w:rPr>
      <w:color w:val="800080"/>
      <w:u w:val="single"/>
    </w:rPr>
  </w:style>
  <w:style w:type="character" w:customStyle="1" w:styleId="af7">
    <w:name w:val="页脚 字符"/>
    <w:link w:val="af6"/>
    <w:uiPriority w:val="99"/>
    <w:qFormat/>
    <w:rPr>
      <w:rFonts w:eastAsia="宋体"/>
      <w:kern w:val="2"/>
      <w:sz w:val="18"/>
      <w:szCs w:val="18"/>
      <w:lang w:val="en-US" w:eastAsia="zh-CN" w:bidi="ar-SA"/>
    </w:rPr>
  </w:style>
  <w:style w:type="character" w:customStyle="1" w:styleId="Char0">
    <w:name w:val="首示例 Char"/>
    <w:link w:val="aff5"/>
    <w:qFormat/>
    <w:rPr>
      <w:rFonts w:ascii="宋体" w:hAnsi="宋体"/>
      <w:kern w:val="2"/>
      <w:sz w:val="18"/>
      <w:szCs w:val="18"/>
    </w:rPr>
  </w:style>
  <w:style w:type="paragraph" w:customStyle="1" w:styleId="aff5">
    <w:name w:val="首示例"/>
    <w:next w:val="afb"/>
    <w:link w:val="Char0"/>
    <w:qFormat/>
    <w:pPr>
      <w:tabs>
        <w:tab w:val="left" w:pos="360"/>
      </w:tabs>
    </w:pPr>
    <w:rPr>
      <w:rFonts w:ascii="宋体" w:hAnsi="宋体"/>
      <w:kern w:val="2"/>
      <w:sz w:val="18"/>
      <w:szCs w:val="18"/>
    </w:rPr>
  </w:style>
  <w:style w:type="character" w:customStyle="1" w:styleId="af9">
    <w:name w:val="页眉 字符"/>
    <w:link w:val="af8"/>
    <w:qFormat/>
    <w:rPr>
      <w:kern w:val="2"/>
      <w:sz w:val="18"/>
      <w:szCs w:val="18"/>
    </w:rPr>
  </w:style>
  <w:style w:type="character" w:customStyle="1" w:styleId="aff6">
    <w:name w:val="发布"/>
    <w:qFormat/>
    <w:rPr>
      <w:rFonts w:ascii="黑体" w:eastAsia="黑体"/>
      <w:spacing w:val="85"/>
      <w:w w:val="100"/>
      <w:position w:val="3"/>
      <w:sz w:val="28"/>
      <w:szCs w:val="28"/>
    </w:rPr>
  </w:style>
  <w:style w:type="character" w:customStyle="1" w:styleId="Char">
    <w:name w:val="段 Char"/>
    <w:link w:val="afb"/>
    <w:qFormat/>
    <w:rPr>
      <w:rFonts w:ascii="宋体"/>
      <w:sz w:val="21"/>
      <w:lang w:val="en-US" w:eastAsia="zh-CN" w:bidi="ar-SA"/>
    </w:rPr>
  </w:style>
  <w:style w:type="character" w:customStyle="1" w:styleId="Char1">
    <w:name w:val="附录公式 Char"/>
    <w:basedOn w:val="Char"/>
    <w:link w:val="aff7"/>
    <w:qFormat/>
    <w:rPr>
      <w:rFonts w:ascii="宋体"/>
      <w:sz w:val="21"/>
      <w:lang w:val="en-US" w:eastAsia="zh-CN" w:bidi="ar-SA"/>
    </w:rPr>
  </w:style>
  <w:style w:type="paragraph" w:customStyle="1" w:styleId="aff7">
    <w:name w:val="附录公式"/>
    <w:basedOn w:val="afb"/>
    <w:next w:val="afb"/>
    <w:link w:val="Char1"/>
    <w:qFormat/>
  </w:style>
  <w:style w:type="paragraph" w:customStyle="1" w:styleId="13">
    <w:name w:val="封面标准号1"/>
    <w:qFormat/>
    <w:pPr>
      <w:widowControl w:val="0"/>
      <w:kinsoku w:val="0"/>
      <w:overflowPunct w:val="0"/>
      <w:autoSpaceDE w:val="0"/>
      <w:autoSpaceDN w:val="0"/>
      <w:spacing w:before="308"/>
      <w:jc w:val="right"/>
      <w:textAlignment w:val="center"/>
    </w:pPr>
    <w:rPr>
      <w:sz w:val="28"/>
    </w:rPr>
  </w:style>
  <w:style w:type="paragraph" w:customStyle="1" w:styleId="aff8">
    <w:name w:val="参考文献、索引标题"/>
    <w:basedOn w:val="ab"/>
    <w:next w:val="a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9">
    <w:name w:val="章标题"/>
    <w:next w:val="afb"/>
    <w:qFormat/>
    <w:pPr>
      <w:spacing w:beforeLines="100" w:afterLines="100"/>
      <w:jc w:val="both"/>
      <w:outlineLvl w:val="1"/>
    </w:pPr>
    <w:rPr>
      <w:rFonts w:ascii="黑体" w:eastAsia="黑体"/>
      <w:sz w:val="21"/>
    </w:rPr>
  </w:style>
  <w:style w:type="paragraph" w:customStyle="1" w:styleId="affa">
    <w:name w:val="标准书脚_偶数页"/>
    <w:qFormat/>
    <w:pPr>
      <w:spacing w:before="120"/>
      <w:ind w:left="221"/>
    </w:pPr>
    <w:rPr>
      <w:rFonts w:ascii="宋体"/>
      <w:sz w:val="18"/>
      <w:szCs w:val="18"/>
    </w:rPr>
  </w:style>
  <w:style w:type="paragraph" w:customStyle="1" w:styleId="affb">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c">
    <w:name w:val="附录公式编号制表符"/>
    <w:basedOn w:val="ab"/>
    <w:next w:val="afb"/>
    <w:qFormat/>
    <w:pPr>
      <w:widowControl/>
      <w:tabs>
        <w:tab w:val="center" w:pos="4201"/>
        <w:tab w:val="right" w:leader="dot" w:pos="9298"/>
      </w:tabs>
      <w:autoSpaceDE w:val="0"/>
      <w:autoSpaceDN w:val="0"/>
    </w:pPr>
    <w:rPr>
      <w:rFonts w:ascii="宋体"/>
      <w:kern w:val="0"/>
      <w:szCs w:val="20"/>
    </w:rPr>
  </w:style>
  <w:style w:type="paragraph" w:customStyle="1" w:styleId="affd">
    <w:name w:val="二级无"/>
    <w:basedOn w:val="affe"/>
    <w:qFormat/>
    <w:pPr>
      <w:spacing w:beforeLines="0" w:afterLines="0"/>
      <w:ind w:left="0"/>
    </w:pPr>
    <w:rPr>
      <w:rFonts w:ascii="宋体" w:eastAsia="宋体"/>
    </w:rPr>
  </w:style>
  <w:style w:type="paragraph" w:customStyle="1" w:styleId="affe">
    <w:name w:val="二级条标题"/>
    <w:basedOn w:val="a"/>
    <w:next w:val="afb"/>
    <w:qFormat/>
    <w:pPr>
      <w:numPr>
        <w:ilvl w:val="0"/>
        <w:numId w:val="0"/>
      </w:numPr>
      <w:spacing w:before="50" w:after="50"/>
      <w:ind w:left="426"/>
      <w:outlineLvl w:val="3"/>
    </w:pPr>
  </w:style>
  <w:style w:type="paragraph" w:customStyle="1" w:styleId="a">
    <w:name w:val="一级条标题"/>
    <w:next w:val="afb"/>
    <w:qFormat/>
    <w:pPr>
      <w:numPr>
        <w:ilvl w:val="1"/>
        <w:numId w:val="2"/>
      </w:numPr>
      <w:spacing w:beforeLines="50" w:afterLines="50"/>
      <w:outlineLvl w:val="2"/>
    </w:pPr>
    <w:rPr>
      <w:rFonts w:ascii="黑体" w:eastAsia="黑体"/>
      <w:sz w:val="21"/>
      <w:szCs w:val="21"/>
    </w:rPr>
  </w:style>
  <w:style w:type="paragraph" w:customStyle="1" w:styleId="afff">
    <w:name w:val="编号列项（三级）"/>
    <w:qFormat/>
    <w:rPr>
      <w:rFonts w:ascii="宋体"/>
      <w:sz w:val="21"/>
    </w:rPr>
  </w:style>
  <w:style w:type="paragraph" w:customStyle="1" w:styleId="afff0">
    <w:name w:val="条文脚注"/>
    <w:basedOn w:val="afc"/>
    <w:qFormat/>
    <w:pPr>
      <w:ind w:left="0" w:firstLine="0"/>
      <w:jc w:val="both"/>
    </w:pPr>
  </w:style>
  <w:style w:type="paragraph" w:customStyle="1" w:styleId="afff1">
    <w:name w:val="附录标题"/>
    <w:basedOn w:val="afb"/>
    <w:next w:val="afb"/>
    <w:qFormat/>
    <w:pPr>
      <w:ind w:firstLineChars="0" w:firstLine="0"/>
      <w:jc w:val="center"/>
    </w:pPr>
    <w:rPr>
      <w:rFonts w:ascii="黑体" w:eastAsia="黑体"/>
    </w:rPr>
  </w:style>
  <w:style w:type="paragraph" w:customStyle="1" w:styleId="afff2">
    <w:name w:val="目次、标准名称标题"/>
    <w:basedOn w:val="ab"/>
    <w:next w:val="afb"/>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3">
    <w:name w:val="正文公式编号制表符"/>
    <w:basedOn w:val="afb"/>
    <w:next w:val="afb"/>
    <w:qFormat/>
    <w:pPr>
      <w:ind w:firstLineChars="0" w:firstLine="0"/>
    </w:pPr>
  </w:style>
  <w:style w:type="paragraph" w:customStyle="1" w:styleId="afff4">
    <w:name w:val="附录四级条标题"/>
    <w:basedOn w:val="afff5"/>
    <w:next w:val="afb"/>
    <w:qFormat/>
    <w:pPr>
      <w:outlineLvl w:val="5"/>
    </w:pPr>
  </w:style>
  <w:style w:type="paragraph" w:customStyle="1" w:styleId="afff5">
    <w:name w:val="附录三级条标题"/>
    <w:basedOn w:val="afff6"/>
    <w:next w:val="afb"/>
    <w:qFormat/>
    <w:pPr>
      <w:outlineLvl w:val="4"/>
    </w:pPr>
  </w:style>
  <w:style w:type="paragraph" w:customStyle="1" w:styleId="afff6">
    <w:name w:val="附录二级条标题"/>
    <w:basedOn w:val="ab"/>
    <w:next w:val="afb"/>
    <w:qFormat/>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7">
    <w:name w:val="三级无"/>
    <w:basedOn w:val="afff8"/>
    <w:qFormat/>
    <w:pPr>
      <w:spacing w:beforeLines="0" w:afterLines="0"/>
    </w:pPr>
    <w:rPr>
      <w:rFonts w:ascii="宋体" w:eastAsia="宋体"/>
    </w:rPr>
  </w:style>
  <w:style w:type="paragraph" w:customStyle="1" w:styleId="afff8">
    <w:name w:val="三级条标题"/>
    <w:basedOn w:val="affe"/>
    <w:next w:val="afb"/>
    <w:qFormat/>
    <w:pPr>
      <w:ind w:left="0"/>
      <w:outlineLvl w:val="4"/>
    </w:pPr>
  </w:style>
  <w:style w:type="paragraph" w:customStyle="1" w:styleId="afff9">
    <w:name w:val="封面一致性程度标识"/>
    <w:basedOn w:val="afffa"/>
    <w:qFormat/>
    <w:pPr>
      <w:framePr w:wrap="around"/>
      <w:spacing w:before="440"/>
    </w:pPr>
    <w:rPr>
      <w:rFonts w:ascii="宋体" w:eastAsia="宋体"/>
    </w:rPr>
  </w:style>
  <w:style w:type="paragraph" w:customStyle="1" w:styleId="afffa">
    <w:name w:val="封面标准英文名称"/>
    <w:basedOn w:val="afffb"/>
    <w:qFormat/>
    <w:pPr>
      <w:framePr w:wrap="around"/>
      <w:spacing w:before="370" w:line="400" w:lineRule="exact"/>
    </w:pPr>
    <w:rPr>
      <w:rFonts w:ascii="Times New Roman"/>
      <w:sz w:val="28"/>
      <w:szCs w:val="28"/>
    </w:rPr>
  </w:style>
  <w:style w:type="paragraph" w:customStyle="1" w:styleId="afffb">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示例×："/>
    <w:basedOn w:val="aff9"/>
    <w:qFormat/>
    <w:pPr>
      <w:spacing w:beforeLines="0" w:afterLines="0"/>
      <w:ind w:firstLine="363"/>
      <w:outlineLvl w:val="9"/>
    </w:pPr>
    <w:rPr>
      <w:rFonts w:ascii="宋体" w:eastAsia="宋体"/>
      <w:sz w:val="18"/>
      <w:szCs w:val="18"/>
    </w:rPr>
  </w:style>
  <w:style w:type="paragraph" w:customStyle="1" w:styleId="22">
    <w:name w:val="封面一致性程度标识2"/>
    <w:basedOn w:val="afff9"/>
    <w:qFormat/>
    <w:pPr>
      <w:framePr w:wrap="around" w:y="4469"/>
    </w:pPr>
  </w:style>
  <w:style w:type="paragraph" w:customStyle="1" w:styleId="afffd">
    <w:name w:val="附录五级无"/>
    <w:basedOn w:val="afffe"/>
    <w:qFormat/>
    <w:pPr>
      <w:spacing w:beforeLines="0" w:afterLines="0"/>
    </w:pPr>
    <w:rPr>
      <w:rFonts w:ascii="宋体" w:eastAsia="宋体"/>
      <w:szCs w:val="21"/>
    </w:rPr>
  </w:style>
  <w:style w:type="paragraph" w:customStyle="1" w:styleId="afffe">
    <w:name w:val="附录五级条标题"/>
    <w:basedOn w:val="afff4"/>
    <w:next w:val="afb"/>
    <w:qFormat/>
    <w:pPr>
      <w:outlineLvl w:val="6"/>
    </w:pPr>
  </w:style>
  <w:style w:type="paragraph" w:customStyle="1" w:styleId="affff">
    <w:name w:val="四级条标题"/>
    <w:basedOn w:val="afff8"/>
    <w:next w:val="afb"/>
    <w:qFormat/>
    <w:pPr>
      <w:outlineLvl w:val="5"/>
    </w:pPr>
  </w:style>
  <w:style w:type="paragraph" w:customStyle="1" w:styleId="affff0">
    <w:name w:val="注："/>
    <w:next w:val="afb"/>
    <w:qFormat/>
    <w:pPr>
      <w:widowControl w:val="0"/>
      <w:autoSpaceDE w:val="0"/>
      <w:autoSpaceDN w:val="0"/>
      <w:ind w:left="726" w:hanging="363"/>
      <w:jc w:val="both"/>
    </w:pPr>
    <w:rPr>
      <w:rFonts w:ascii="宋体"/>
      <w:sz w:val="18"/>
      <w:szCs w:val="18"/>
    </w:rPr>
  </w:style>
  <w:style w:type="paragraph" w:customStyle="1" w:styleId="affff1">
    <w:name w:val="附录四级无"/>
    <w:basedOn w:val="afff4"/>
    <w:qFormat/>
    <w:pPr>
      <w:tabs>
        <w:tab w:val="clear" w:pos="360"/>
      </w:tabs>
      <w:spacing w:beforeLines="0" w:afterLines="0"/>
    </w:pPr>
    <w:rPr>
      <w:rFonts w:ascii="宋体" w:eastAsia="宋体"/>
      <w:szCs w:val="21"/>
    </w:rPr>
  </w:style>
  <w:style w:type="paragraph" w:customStyle="1" w:styleId="affff2">
    <w:name w:val="标准书脚_奇数页"/>
    <w:qFormat/>
    <w:pPr>
      <w:spacing w:before="120"/>
      <w:ind w:right="198"/>
      <w:jc w:val="right"/>
    </w:pPr>
    <w:rPr>
      <w:rFonts w:ascii="宋体"/>
      <w:sz w:val="18"/>
      <w:szCs w:val="18"/>
    </w:rPr>
  </w:style>
  <w:style w:type="paragraph" w:customStyle="1" w:styleId="affff3">
    <w:name w:val="其他发布部门"/>
    <w:basedOn w:val="affff4"/>
    <w:qFormat/>
    <w:pPr>
      <w:framePr w:wrap="around" w:y="15310"/>
      <w:spacing w:line="0" w:lineRule="atLeast"/>
    </w:pPr>
    <w:rPr>
      <w:rFonts w:ascii="黑体" w:eastAsia="黑体"/>
      <w:b w:val="0"/>
    </w:rPr>
  </w:style>
  <w:style w:type="paragraph" w:customStyle="1" w:styleId="affff4">
    <w:name w:val="发布部门"/>
    <w:next w:val="afb"/>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5">
    <w:name w:val="列项◆（三级）"/>
    <w:basedOn w:val="ab"/>
    <w:qFormat/>
    <w:pPr>
      <w:tabs>
        <w:tab w:val="left" w:pos="1678"/>
      </w:tabs>
      <w:ind w:left="1678" w:hanging="414"/>
    </w:pPr>
    <w:rPr>
      <w:rFonts w:ascii="宋体"/>
      <w:szCs w:val="21"/>
    </w:rPr>
  </w:style>
  <w:style w:type="paragraph" w:customStyle="1" w:styleId="affff6">
    <w:name w:val="其他标准称谓"/>
    <w:next w:val="ab"/>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7">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8">
    <w:name w:val="正文图标题"/>
    <w:next w:val="afb"/>
    <w:qFormat/>
    <w:pPr>
      <w:tabs>
        <w:tab w:val="left" w:pos="360"/>
      </w:tabs>
      <w:spacing w:beforeLines="50" w:afterLines="50"/>
      <w:jc w:val="center"/>
    </w:pPr>
    <w:rPr>
      <w:rFonts w:ascii="黑体" w:eastAsia="黑体"/>
      <w:sz w:val="21"/>
    </w:rPr>
  </w:style>
  <w:style w:type="paragraph" w:customStyle="1" w:styleId="affff9">
    <w:name w:val="标准书眉_奇数页"/>
    <w:next w:val="ab"/>
    <w:qFormat/>
    <w:pPr>
      <w:tabs>
        <w:tab w:val="center" w:pos="4154"/>
        <w:tab w:val="right" w:pos="8306"/>
      </w:tabs>
      <w:spacing w:after="220"/>
      <w:jc w:val="right"/>
    </w:pPr>
    <w:rPr>
      <w:rFonts w:ascii="黑体" w:eastAsia="黑体"/>
      <w:sz w:val="21"/>
      <w:szCs w:val="21"/>
    </w:rPr>
  </w:style>
  <w:style w:type="paragraph" w:customStyle="1" w:styleId="affffa">
    <w:name w:val="附录章标题"/>
    <w:next w:val="afb"/>
    <w:qFormat/>
    <w:p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b">
    <w:name w:val="标准称谓"/>
    <w:next w:val="ab"/>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c">
    <w:name w:val="注：（正文）"/>
    <w:basedOn w:val="affff0"/>
    <w:next w:val="afb"/>
    <w:qFormat/>
  </w:style>
  <w:style w:type="paragraph" w:customStyle="1" w:styleId="affffd">
    <w:name w:val="附录图标号"/>
    <w:basedOn w:val="ab"/>
    <w:qFormat/>
    <w:pPr>
      <w:keepNext/>
      <w:pageBreakBefore/>
      <w:widowControl/>
      <w:spacing w:line="14" w:lineRule="exact"/>
      <w:ind w:firstLine="363"/>
      <w:jc w:val="center"/>
      <w:outlineLvl w:val="0"/>
    </w:pPr>
    <w:rPr>
      <w:color w:val="FFFFFF"/>
    </w:rPr>
  </w:style>
  <w:style w:type="paragraph" w:customStyle="1" w:styleId="affffe">
    <w:name w:val="示例内容"/>
    <w:qFormat/>
    <w:pPr>
      <w:ind w:firstLineChars="200" w:firstLine="200"/>
    </w:pPr>
    <w:rPr>
      <w:rFonts w:ascii="宋体"/>
      <w:sz w:val="18"/>
      <w:szCs w:val="18"/>
    </w:rPr>
  </w:style>
  <w:style w:type="paragraph" w:customStyle="1" w:styleId="afffff">
    <w:name w:val="目次、索引正文"/>
    <w:qFormat/>
    <w:pPr>
      <w:spacing w:line="320" w:lineRule="exact"/>
      <w:jc w:val="both"/>
    </w:pPr>
    <w:rPr>
      <w:rFonts w:ascii="宋体"/>
      <w:sz w:val="21"/>
    </w:rPr>
  </w:style>
  <w:style w:type="paragraph" w:customStyle="1" w:styleId="23">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0">
    <w:name w:val="发布日期"/>
    <w:qFormat/>
    <w:pPr>
      <w:framePr w:w="3997" w:h="471" w:hRule="exact" w:vSpace="181" w:wrap="around" w:hAnchor="page" w:x="7089" w:y="14097" w:anchorLock="1"/>
    </w:pPr>
    <w:rPr>
      <w:rFonts w:eastAsia="黑体"/>
      <w:sz w:val="28"/>
    </w:rPr>
  </w:style>
  <w:style w:type="paragraph" w:styleId="afffff1">
    <w:name w:val="List Paragraph"/>
    <w:basedOn w:val="ab"/>
    <w:qFormat/>
    <w:pPr>
      <w:ind w:firstLineChars="200" w:firstLine="420"/>
    </w:pPr>
    <w:rPr>
      <w:rFonts w:ascii="Calibri" w:hAnsi="Calibri"/>
      <w:szCs w:val="22"/>
    </w:rPr>
  </w:style>
  <w:style w:type="paragraph" w:customStyle="1" w:styleId="afffff2">
    <w:name w:val="附录一级无"/>
    <w:basedOn w:val="afffff3"/>
    <w:qFormat/>
    <w:pPr>
      <w:spacing w:beforeLines="0" w:afterLines="0"/>
    </w:pPr>
    <w:rPr>
      <w:rFonts w:ascii="宋体" w:eastAsia="宋体"/>
      <w:szCs w:val="21"/>
    </w:rPr>
  </w:style>
  <w:style w:type="paragraph" w:customStyle="1" w:styleId="afffff3">
    <w:name w:val="附录一级条标题"/>
    <w:basedOn w:val="affffa"/>
    <w:next w:val="afb"/>
    <w:qFormat/>
    <w:pPr>
      <w:autoSpaceDN w:val="0"/>
      <w:spacing w:beforeLines="50" w:afterLines="50"/>
      <w:outlineLvl w:val="2"/>
    </w:pPr>
  </w:style>
  <w:style w:type="paragraph" w:customStyle="1" w:styleId="afffff4">
    <w:name w:val="注×："/>
    <w:qFormat/>
    <w:pPr>
      <w:widowControl w:val="0"/>
      <w:autoSpaceDE w:val="0"/>
      <w:autoSpaceDN w:val="0"/>
      <w:ind w:left="811" w:hanging="448"/>
      <w:jc w:val="both"/>
    </w:pPr>
    <w:rPr>
      <w:rFonts w:ascii="宋体"/>
      <w:sz w:val="18"/>
      <w:szCs w:val="18"/>
    </w:rPr>
  </w:style>
  <w:style w:type="paragraph" w:customStyle="1" w:styleId="afffff5">
    <w:name w:val="标准书眉一"/>
    <w:qFormat/>
    <w:pPr>
      <w:jc w:val="both"/>
    </w:pPr>
  </w:style>
  <w:style w:type="paragraph" w:customStyle="1" w:styleId="24">
    <w:name w:val="封面标准英文名称2"/>
    <w:basedOn w:val="afffa"/>
    <w:qFormat/>
    <w:pPr>
      <w:framePr w:wrap="around" w:y="4469"/>
    </w:pPr>
  </w:style>
  <w:style w:type="paragraph" w:customStyle="1" w:styleId="afffff6">
    <w:name w:val="标准书眉_偶数页"/>
    <w:basedOn w:val="affff9"/>
    <w:next w:val="ab"/>
    <w:qFormat/>
    <w:pPr>
      <w:jc w:val="left"/>
    </w:pPr>
  </w:style>
  <w:style w:type="paragraph" w:customStyle="1" w:styleId="afffff7">
    <w:name w:val="图表脚注说明"/>
    <w:basedOn w:val="ab"/>
    <w:qFormat/>
    <w:pPr>
      <w:ind w:left="544" w:hanging="181"/>
    </w:pPr>
    <w:rPr>
      <w:rFonts w:ascii="宋体"/>
      <w:sz w:val="18"/>
      <w:szCs w:val="18"/>
    </w:rPr>
  </w:style>
  <w:style w:type="paragraph" w:customStyle="1" w:styleId="afffff8">
    <w:name w:val="标准标志"/>
    <w:next w:val="ab"/>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9">
    <w:name w:val="终结线"/>
    <w:basedOn w:val="ab"/>
    <w:qFormat/>
    <w:pPr>
      <w:framePr w:hSpace="181" w:vSpace="181" w:wrap="around" w:vAnchor="text" w:hAnchor="margin" w:xAlign="center" w:y="285"/>
    </w:pPr>
  </w:style>
  <w:style w:type="paragraph" w:customStyle="1" w:styleId="afffffa">
    <w:name w:val="注×：（正文）"/>
    <w:qFormat/>
    <w:pPr>
      <w:ind w:left="811" w:hanging="448"/>
      <w:jc w:val="both"/>
    </w:pPr>
    <w:rPr>
      <w:rFonts w:ascii="宋体"/>
      <w:sz w:val="18"/>
      <w:szCs w:val="18"/>
    </w:rPr>
  </w:style>
  <w:style w:type="paragraph" w:customStyle="1" w:styleId="afffffb">
    <w:name w:val="列项说明数字编号"/>
    <w:qFormat/>
    <w:pPr>
      <w:ind w:leftChars="400" w:left="600" w:hangingChars="200" w:hanging="200"/>
    </w:pPr>
    <w:rPr>
      <w:rFonts w:ascii="宋体"/>
      <w:sz w:val="21"/>
    </w:rPr>
  </w:style>
  <w:style w:type="paragraph" w:customStyle="1" w:styleId="afffffc">
    <w:name w:val="附录数字编号列项（二级）"/>
    <w:qFormat/>
    <w:pPr>
      <w:tabs>
        <w:tab w:val="left" w:pos="840"/>
      </w:tabs>
      <w:ind w:left="839" w:hanging="419"/>
    </w:pPr>
    <w:rPr>
      <w:rFonts w:ascii="宋体"/>
      <w:sz w:val="21"/>
    </w:rPr>
  </w:style>
  <w:style w:type="paragraph" w:customStyle="1" w:styleId="afffffd">
    <w:name w:val="数字编号列项（二级）"/>
    <w:qFormat/>
    <w:pPr>
      <w:tabs>
        <w:tab w:val="left" w:pos="1259"/>
      </w:tabs>
      <w:ind w:left="1259" w:hanging="420"/>
      <w:jc w:val="both"/>
    </w:pPr>
    <w:rPr>
      <w:rFonts w:ascii="宋体"/>
      <w:sz w:val="21"/>
    </w:rPr>
  </w:style>
  <w:style w:type="paragraph" w:customStyle="1" w:styleId="afffffe">
    <w:name w:val="列项——（一级）"/>
    <w:qFormat/>
    <w:pPr>
      <w:widowControl w:val="0"/>
      <w:ind w:left="833" w:hanging="408"/>
      <w:jc w:val="both"/>
    </w:pPr>
    <w:rPr>
      <w:rFonts w:ascii="宋体"/>
      <w:sz w:val="21"/>
    </w:rPr>
  </w:style>
  <w:style w:type="paragraph" w:customStyle="1" w:styleId="affffff">
    <w:name w:val="列项●（二级）"/>
    <w:qFormat/>
    <w:pPr>
      <w:tabs>
        <w:tab w:val="left" w:pos="760"/>
        <w:tab w:val="left" w:pos="840"/>
      </w:tabs>
      <w:ind w:left="1264" w:hanging="413"/>
      <w:jc w:val="both"/>
    </w:pPr>
    <w:rPr>
      <w:rFonts w:ascii="宋体"/>
      <w:sz w:val="21"/>
    </w:rPr>
  </w:style>
  <w:style w:type="paragraph" w:customStyle="1" w:styleId="affffff0">
    <w:name w:val="封面标准文稿类别"/>
    <w:basedOn w:val="afff9"/>
    <w:qFormat/>
    <w:pPr>
      <w:framePr w:wrap="around"/>
      <w:spacing w:after="160" w:line="240" w:lineRule="auto"/>
    </w:pPr>
    <w:rPr>
      <w:sz w:val="24"/>
    </w:rPr>
  </w:style>
  <w:style w:type="paragraph" w:customStyle="1" w:styleId="affffff1">
    <w:name w:val="其他实施日期"/>
    <w:basedOn w:val="affffff2"/>
    <w:qFormat/>
    <w:pPr>
      <w:framePr w:wrap="around"/>
    </w:pPr>
  </w:style>
  <w:style w:type="paragraph" w:customStyle="1" w:styleId="affffff2">
    <w:name w:val="实施日期"/>
    <w:basedOn w:val="afffff0"/>
    <w:qFormat/>
    <w:pPr>
      <w:framePr w:wrap="around" w:vAnchor="page" w:hAnchor="text"/>
      <w:jc w:val="right"/>
    </w:pPr>
  </w:style>
  <w:style w:type="paragraph" w:customStyle="1" w:styleId="affffff3">
    <w:name w:val="五级条标题"/>
    <w:basedOn w:val="affff"/>
    <w:next w:val="afb"/>
    <w:qFormat/>
    <w:pPr>
      <w:numPr>
        <w:ilvl w:val="5"/>
      </w:numPr>
      <w:outlineLvl w:val="6"/>
    </w:pPr>
  </w:style>
  <w:style w:type="paragraph" w:customStyle="1" w:styleId="affffff4">
    <w:name w:val="列项说明"/>
    <w:basedOn w:val="ab"/>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参考文献"/>
    <w:basedOn w:val="ab"/>
    <w:next w:val="a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6">
    <w:name w:val="字母编号列项（一级）"/>
    <w:qFormat/>
    <w:pPr>
      <w:tabs>
        <w:tab w:val="left" w:pos="839"/>
      </w:tabs>
      <w:ind w:left="839" w:hanging="419"/>
      <w:jc w:val="both"/>
    </w:pPr>
    <w:rPr>
      <w:rFonts w:ascii="宋体"/>
      <w:sz w:val="21"/>
    </w:rPr>
  </w:style>
  <w:style w:type="paragraph" w:customStyle="1" w:styleId="affffff7">
    <w:name w:val="示例"/>
    <w:next w:val="affffe"/>
    <w:qFormat/>
    <w:pPr>
      <w:widowControl w:val="0"/>
      <w:ind w:firstLine="363"/>
      <w:jc w:val="both"/>
    </w:pPr>
    <w:rPr>
      <w:rFonts w:ascii="宋体"/>
      <w:sz w:val="18"/>
      <w:szCs w:val="18"/>
    </w:rPr>
  </w:style>
  <w:style w:type="paragraph" w:customStyle="1" w:styleId="affffff8">
    <w:name w:val="封面标准文稿编辑信息"/>
    <w:basedOn w:val="affffff0"/>
    <w:qFormat/>
    <w:pPr>
      <w:framePr w:wrap="around"/>
      <w:spacing w:before="180" w:line="180" w:lineRule="exact"/>
    </w:pPr>
    <w:rPr>
      <w:sz w:val="21"/>
    </w:rPr>
  </w:style>
  <w:style w:type="paragraph" w:customStyle="1" w:styleId="affffff9">
    <w:name w:val="封面正文"/>
    <w:qFormat/>
    <w:pPr>
      <w:jc w:val="both"/>
    </w:pPr>
  </w:style>
  <w:style w:type="paragraph" w:customStyle="1" w:styleId="affffffa">
    <w:name w:val="前言、引言标题"/>
    <w:next w:val="afb"/>
    <w:qFormat/>
    <w:pPr>
      <w:keepNext/>
      <w:pageBreakBefore/>
      <w:shd w:val="clear" w:color="FFFFFF" w:fill="FFFFFF"/>
      <w:spacing w:before="640" w:after="560"/>
      <w:jc w:val="center"/>
      <w:outlineLvl w:val="0"/>
    </w:pPr>
    <w:rPr>
      <w:rFonts w:ascii="黑体" w:eastAsia="黑体"/>
      <w:sz w:val="32"/>
    </w:rPr>
  </w:style>
  <w:style w:type="paragraph" w:customStyle="1" w:styleId="affffffb">
    <w:name w:val="附录标识"/>
    <w:basedOn w:val="ab"/>
    <w:next w:val="afb"/>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fc">
    <w:name w:val="图标脚注说明"/>
    <w:basedOn w:val="afb"/>
    <w:qFormat/>
    <w:pPr>
      <w:ind w:left="840" w:firstLineChars="0" w:hanging="420"/>
    </w:pPr>
    <w:rPr>
      <w:sz w:val="18"/>
      <w:szCs w:val="18"/>
    </w:rPr>
  </w:style>
  <w:style w:type="paragraph" w:customStyle="1" w:styleId="affffffd">
    <w:name w:val="附录表标号"/>
    <w:basedOn w:val="ab"/>
    <w:next w:val="afb"/>
    <w:qFormat/>
    <w:pPr>
      <w:spacing w:line="14" w:lineRule="exact"/>
      <w:ind w:left="811" w:hanging="448"/>
      <w:jc w:val="center"/>
      <w:outlineLvl w:val="0"/>
    </w:pPr>
    <w:rPr>
      <w:color w:val="FFFFFF"/>
    </w:rPr>
  </w:style>
  <w:style w:type="paragraph" w:customStyle="1" w:styleId="affffffe">
    <w:name w:val="图的脚注"/>
    <w:next w:val="afb"/>
    <w:qFormat/>
    <w:pPr>
      <w:widowControl w:val="0"/>
      <w:ind w:leftChars="200" w:left="840" w:hangingChars="200" w:hanging="420"/>
      <w:jc w:val="both"/>
    </w:pPr>
    <w:rPr>
      <w:rFonts w:ascii="宋体"/>
      <w:sz w:val="18"/>
    </w:rPr>
  </w:style>
  <w:style w:type="paragraph" w:customStyle="1" w:styleId="afffffff">
    <w:name w:val="附录表标题"/>
    <w:basedOn w:val="ab"/>
    <w:next w:val="afb"/>
    <w:qFormat/>
    <w:pPr>
      <w:tabs>
        <w:tab w:val="left" w:pos="180"/>
      </w:tabs>
      <w:spacing w:beforeLines="50" w:afterLines="50"/>
      <w:jc w:val="center"/>
    </w:pPr>
    <w:rPr>
      <w:rFonts w:ascii="黑体" w:eastAsia="黑体"/>
      <w:szCs w:val="21"/>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五级无"/>
    <w:basedOn w:val="affffff3"/>
    <w:qFormat/>
    <w:pPr>
      <w:spacing w:beforeLines="0" w:afterLines="0"/>
    </w:pPr>
    <w:rPr>
      <w:rFonts w:ascii="宋体" w:eastAsia="宋体"/>
    </w:rPr>
  </w:style>
  <w:style w:type="paragraph" w:customStyle="1" w:styleId="afffffff2">
    <w:name w:val="附录三级无"/>
    <w:basedOn w:val="afff5"/>
    <w:qFormat/>
    <w:pPr>
      <w:tabs>
        <w:tab w:val="clear" w:pos="360"/>
      </w:tabs>
      <w:spacing w:beforeLines="0" w:afterLines="0"/>
    </w:pPr>
    <w:rPr>
      <w:rFonts w:ascii="宋体" w:eastAsia="宋体"/>
      <w:szCs w:val="21"/>
    </w:rPr>
  </w:style>
  <w:style w:type="paragraph" w:customStyle="1" w:styleId="afffffff3">
    <w:name w:val="附录图标题"/>
    <w:basedOn w:val="ab"/>
    <w:next w:val="afb"/>
    <w:qFormat/>
    <w:pPr>
      <w:tabs>
        <w:tab w:val="left" w:pos="363"/>
      </w:tabs>
      <w:spacing w:beforeLines="50" w:afterLines="50"/>
      <w:jc w:val="center"/>
    </w:pPr>
    <w:rPr>
      <w:rFonts w:ascii="黑体" w:eastAsia="黑体"/>
      <w:szCs w:val="21"/>
    </w:rPr>
  </w:style>
  <w:style w:type="paragraph" w:customStyle="1" w:styleId="14">
    <w:name w:val="列出段落1"/>
    <w:basedOn w:val="ab"/>
    <w:qFormat/>
    <w:pPr>
      <w:ind w:firstLineChars="200" w:firstLine="420"/>
    </w:pPr>
    <w:rPr>
      <w:rFonts w:ascii="Calibri" w:hAnsi="Calibri"/>
      <w:szCs w:val="22"/>
    </w:rPr>
  </w:style>
  <w:style w:type="paragraph" w:customStyle="1" w:styleId="afffffff4">
    <w:name w:val="附录字母编号列项（一级）"/>
    <w:qFormat/>
    <w:pPr>
      <w:tabs>
        <w:tab w:val="left" w:pos="839"/>
      </w:tabs>
      <w:ind w:left="839" w:hanging="419"/>
    </w:pPr>
    <w:rPr>
      <w:rFonts w:ascii="宋体"/>
      <w:sz w:val="21"/>
    </w:rPr>
  </w:style>
  <w:style w:type="paragraph" w:customStyle="1" w:styleId="afffffff5">
    <w:name w:val="其他标准标志"/>
    <w:basedOn w:val="afffff8"/>
    <w:qFormat/>
    <w:pPr>
      <w:framePr w:w="6101" w:wrap="around" w:vAnchor="page" w:hAnchor="page" w:x="4673" w:y="942"/>
    </w:pPr>
    <w:rPr>
      <w:w w:val="130"/>
    </w:rPr>
  </w:style>
  <w:style w:type="paragraph" w:customStyle="1" w:styleId="afffffff6">
    <w:name w:val="示例后文字"/>
    <w:basedOn w:val="afb"/>
    <w:next w:val="afb"/>
    <w:qFormat/>
    <w:pPr>
      <w:ind w:firstLine="360"/>
    </w:pPr>
    <w:rPr>
      <w:sz w:val="18"/>
    </w:rPr>
  </w:style>
  <w:style w:type="paragraph" w:customStyle="1" w:styleId="afffffff7">
    <w:name w:val="四级无"/>
    <w:basedOn w:val="affff"/>
    <w:qFormat/>
    <w:pPr>
      <w:spacing w:beforeLines="0" w:afterLines="0"/>
    </w:pPr>
    <w:rPr>
      <w:rFonts w:ascii="宋体" w:eastAsia="宋体"/>
    </w:rPr>
  </w:style>
  <w:style w:type="paragraph" w:customStyle="1" w:styleId="afffffff8">
    <w:name w:val="一级无"/>
    <w:basedOn w:val="a"/>
    <w:qFormat/>
    <w:pPr>
      <w:spacing w:beforeLines="0" w:afterLines="0"/>
    </w:pPr>
    <w:rPr>
      <w:rFonts w:ascii="宋体" w:eastAsia="宋体"/>
    </w:rPr>
  </w:style>
  <w:style w:type="paragraph" w:customStyle="1" w:styleId="afffffff9">
    <w:name w:val="正文表标题"/>
    <w:next w:val="afb"/>
    <w:qFormat/>
    <w:pPr>
      <w:tabs>
        <w:tab w:val="left" w:pos="360"/>
      </w:tabs>
      <w:spacing w:beforeLines="50" w:afterLines="50"/>
      <w:jc w:val="center"/>
    </w:pPr>
    <w:rPr>
      <w:rFonts w:ascii="黑体" w:eastAsia="黑体"/>
      <w:sz w:val="21"/>
    </w:rPr>
  </w:style>
  <w:style w:type="paragraph" w:customStyle="1" w:styleId="afffffffa">
    <w:name w:val="其他发布日期"/>
    <w:basedOn w:val="afffff0"/>
    <w:qFormat/>
    <w:pPr>
      <w:framePr w:wrap="around" w:vAnchor="page" w:hAnchor="text" w:x="1419"/>
    </w:pPr>
  </w:style>
  <w:style w:type="paragraph" w:customStyle="1" w:styleId="25">
    <w:name w:val="封面标准名称2"/>
    <w:basedOn w:val="afffb"/>
    <w:qFormat/>
    <w:pPr>
      <w:framePr w:wrap="around" w:y="4469"/>
      <w:spacing w:beforeLines="630"/>
    </w:pPr>
  </w:style>
  <w:style w:type="paragraph" w:customStyle="1" w:styleId="26">
    <w:name w:val="封面标准文稿类别2"/>
    <w:basedOn w:val="affffff0"/>
    <w:qFormat/>
    <w:pPr>
      <w:framePr w:wrap="around" w:y="4469"/>
    </w:pPr>
  </w:style>
  <w:style w:type="paragraph" w:customStyle="1" w:styleId="27">
    <w:name w:val="封面标准文稿编辑信息2"/>
    <w:basedOn w:val="affffff8"/>
    <w:qFormat/>
    <w:pPr>
      <w:framePr w:wrap="around" w:y="4469"/>
    </w:pPr>
  </w:style>
  <w:style w:type="character" w:customStyle="1" w:styleId="20">
    <w:name w:val="标题 2 字符"/>
    <w:link w:val="2"/>
    <w:qFormat/>
    <w:rsid w:val="00830F2F"/>
    <w:rPr>
      <w:b/>
      <w:bCs/>
      <w:kern w:val="2"/>
      <w:sz w:val="24"/>
      <w:szCs w:val="32"/>
    </w:rPr>
  </w:style>
  <w:style w:type="character" w:customStyle="1" w:styleId="30">
    <w:name w:val="标题 3 字符"/>
    <w:link w:val="3"/>
    <w:qFormat/>
    <w:rsid w:val="00830F2F"/>
    <w:rPr>
      <w:b/>
      <w:bCs/>
      <w:kern w:val="2"/>
      <w:sz w:val="24"/>
      <w:szCs w:val="32"/>
    </w:rPr>
  </w:style>
  <w:style w:type="character" w:customStyle="1" w:styleId="40">
    <w:name w:val="标题 4 字符"/>
    <w:link w:val="4"/>
    <w:qFormat/>
    <w:rPr>
      <w:rFonts w:ascii="Cambria" w:eastAsia="宋体" w:hAnsi="Cambria" w:cs="Times New Roman"/>
      <w:b/>
      <w:bCs/>
      <w:kern w:val="2"/>
      <w:sz w:val="28"/>
      <w:szCs w:val="28"/>
    </w:rPr>
  </w:style>
  <w:style w:type="character" w:customStyle="1" w:styleId="10">
    <w:name w:val="标题 1 字符"/>
    <w:basedOn w:val="ac"/>
    <w:link w:val="1"/>
    <w:qFormat/>
    <w:rsid w:val="00830F2F"/>
    <w:rPr>
      <w:rFonts w:asciiTheme="majorEastAsia" w:hAnsiTheme="majorEastAsia"/>
      <w:b/>
      <w:bCs/>
      <w:kern w:val="44"/>
      <w:sz w:val="28"/>
      <w:szCs w:val="44"/>
    </w:rPr>
  </w:style>
  <w:style w:type="paragraph" w:customStyle="1" w:styleId="TOC10">
    <w:name w:val="TOC 标题1"/>
    <w:basedOn w:val="1"/>
    <w:next w:val="ab"/>
    <w:uiPriority w:val="39"/>
    <w:semiHidden/>
    <w:unhideWhenUsed/>
    <w:qFormat/>
    <w:pPr>
      <w:widowControl/>
      <w:spacing w:before="480" w:line="276" w:lineRule="auto"/>
      <w:jc w:val="left"/>
      <w:outlineLvl w:val="9"/>
    </w:pPr>
    <w:rPr>
      <w:rFonts w:asciiTheme="majorHAnsi" w:eastAsiaTheme="majorEastAsia" w:hAnsiTheme="majorHAnsi" w:cstheme="majorBidi"/>
      <w:color w:val="365F91" w:themeColor="accent1" w:themeShade="BF"/>
      <w:kern w:val="0"/>
      <w:szCs w:val="28"/>
    </w:rPr>
  </w:style>
  <w:style w:type="character" w:customStyle="1" w:styleId="af5">
    <w:name w:val="批注框文本 字符"/>
    <w:basedOn w:val="ac"/>
    <w:link w:val="af4"/>
    <w:qFormat/>
    <w:rPr>
      <w:kern w:val="2"/>
      <w:sz w:val="18"/>
      <w:szCs w:val="18"/>
    </w:rPr>
  </w:style>
  <w:style w:type="table" w:customStyle="1" w:styleId="15">
    <w:name w:val="网格型1"/>
    <w:basedOn w:val="ad"/>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d"/>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c"/>
    <w:link w:val="5"/>
    <w:qFormat/>
    <w:rPr>
      <w:b/>
      <w:bCs/>
      <w:kern w:val="2"/>
      <w:sz w:val="28"/>
      <w:szCs w:val="28"/>
    </w:rPr>
  </w:style>
  <w:style w:type="paragraph" w:customStyle="1" w:styleId="afffffffb">
    <w:name w:val="标准文件_段"/>
    <w:link w:val="Char2"/>
    <w:qFormat/>
    <w:pPr>
      <w:autoSpaceDE w:val="0"/>
      <w:autoSpaceDN w:val="0"/>
      <w:ind w:firstLineChars="200" w:firstLine="200"/>
      <w:jc w:val="both"/>
    </w:pPr>
    <w:rPr>
      <w:rFonts w:ascii="宋体"/>
      <w:sz w:val="21"/>
    </w:rPr>
  </w:style>
  <w:style w:type="paragraph" w:customStyle="1" w:styleId="a7">
    <w:name w:val="标准文件_二级条标题"/>
    <w:next w:val="afffffffb"/>
    <w:qFormat/>
    <w:pPr>
      <w:widowControl w:val="0"/>
      <w:numPr>
        <w:ilvl w:val="3"/>
        <w:numId w:val="3"/>
      </w:numPr>
      <w:spacing w:beforeLines="50" w:before="50" w:afterLines="50" w:after="50"/>
      <w:jc w:val="both"/>
      <w:outlineLvl w:val="2"/>
    </w:pPr>
    <w:rPr>
      <w:rFonts w:ascii="黑体" w:eastAsia="黑体"/>
      <w:sz w:val="21"/>
    </w:rPr>
  </w:style>
  <w:style w:type="paragraph" w:customStyle="1" w:styleId="a8">
    <w:name w:val="标准文件_三级条标题"/>
    <w:basedOn w:val="a7"/>
    <w:next w:val="afffffffb"/>
    <w:qFormat/>
    <w:pPr>
      <w:widowControl/>
      <w:numPr>
        <w:ilvl w:val="4"/>
      </w:numPr>
      <w:ind w:left="0"/>
      <w:outlineLvl w:val="3"/>
    </w:pPr>
  </w:style>
  <w:style w:type="paragraph" w:customStyle="1" w:styleId="a9">
    <w:name w:val="标准文件_四级条标题"/>
    <w:next w:val="afffffffb"/>
    <w:qFormat/>
    <w:pPr>
      <w:widowControl w:val="0"/>
      <w:numPr>
        <w:ilvl w:val="5"/>
        <w:numId w:val="3"/>
      </w:numPr>
      <w:spacing w:beforeLines="50" w:before="50" w:afterLines="50" w:after="50"/>
      <w:jc w:val="both"/>
      <w:outlineLvl w:val="4"/>
    </w:pPr>
    <w:rPr>
      <w:rFonts w:ascii="黑体" w:eastAsia="黑体"/>
      <w:sz w:val="21"/>
    </w:rPr>
  </w:style>
  <w:style w:type="paragraph" w:customStyle="1" w:styleId="aa">
    <w:name w:val="标准文件_五级条标题"/>
    <w:next w:val="afffffffb"/>
    <w:qFormat/>
    <w:pPr>
      <w:widowControl w:val="0"/>
      <w:numPr>
        <w:ilvl w:val="6"/>
        <w:numId w:val="3"/>
      </w:numPr>
      <w:spacing w:beforeLines="50" w:before="50" w:afterLines="50" w:after="50"/>
      <w:jc w:val="both"/>
      <w:outlineLvl w:val="5"/>
    </w:pPr>
    <w:rPr>
      <w:rFonts w:ascii="黑体" w:eastAsia="黑体"/>
      <w:sz w:val="21"/>
    </w:rPr>
  </w:style>
  <w:style w:type="paragraph" w:customStyle="1" w:styleId="a5">
    <w:name w:val="标准文件_章标题"/>
    <w:next w:val="afffffffb"/>
    <w:qFormat/>
    <w:pPr>
      <w:numPr>
        <w:ilvl w:val="1"/>
        <w:numId w:val="3"/>
      </w:numPr>
      <w:spacing w:beforeLines="100" w:before="100" w:afterLines="100" w:after="100"/>
      <w:jc w:val="both"/>
      <w:outlineLvl w:val="0"/>
    </w:pPr>
    <w:rPr>
      <w:rFonts w:ascii="黑体" w:eastAsia="黑体"/>
      <w:sz w:val="21"/>
    </w:rPr>
  </w:style>
  <w:style w:type="paragraph" w:customStyle="1" w:styleId="a6">
    <w:name w:val="标准文件_一级条标题"/>
    <w:basedOn w:val="a5"/>
    <w:next w:val="afffffffb"/>
    <w:qFormat/>
    <w:pPr>
      <w:numPr>
        <w:ilvl w:val="2"/>
      </w:numPr>
      <w:spacing w:beforeLines="50" w:before="50" w:afterLines="50" w:after="50"/>
      <w:outlineLvl w:val="1"/>
    </w:pPr>
  </w:style>
  <w:style w:type="paragraph" w:customStyle="1" w:styleId="a4">
    <w:name w:val="前言标题"/>
    <w:next w:val="ab"/>
    <w:qFormat/>
    <w:pPr>
      <w:numPr>
        <w:numId w:val="3"/>
      </w:numPr>
      <w:shd w:val="clear" w:color="FFFFFF" w:fill="FFFFFF"/>
      <w:spacing w:before="540" w:after="600"/>
      <w:jc w:val="center"/>
      <w:outlineLvl w:val="0"/>
    </w:pPr>
    <w:rPr>
      <w:rFonts w:ascii="黑体" w:eastAsia="黑体"/>
      <w:sz w:val="32"/>
    </w:rPr>
  </w:style>
  <w:style w:type="character" w:customStyle="1" w:styleId="Char2">
    <w:name w:val="标准文件_段 Char"/>
    <w:link w:val="afffffffb"/>
    <w:qFormat/>
    <w:rPr>
      <w:rFonts w:ascii="宋体"/>
      <w:sz w:val="21"/>
    </w:rPr>
  </w:style>
  <w:style w:type="paragraph" w:customStyle="1" w:styleId="a3">
    <w:name w:val="标准文件_正文图标题"/>
    <w:next w:val="afffffffb"/>
    <w:qFormat/>
    <w:pPr>
      <w:numPr>
        <w:numId w:val="4"/>
      </w:numPr>
      <w:spacing w:beforeLines="50" w:before="50" w:afterLines="50" w:after="50"/>
      <w:jc w:val="center"/>
    </w:pPr>
    <w:rPr>
      <w:rFonts w:ascii="黑体" w:eastAsia="黑体"/>
      <w:sz w:val="21"/>
    </w:rPr>
  </w:style>
  <w:style w:type="paragraph" w:customStyle="1" w:styleId="16">
    <w:name w:val="修订1"/>
    <w:hidden/>
    <w:uiPriority w:val="99"/>
    <w:unhideWhenUsed/>
    <w:qFormat/>
    <w:rPr>
      <w:kern w:val="2"/>
      <w:sz w:val="21"/>
      <w:szCs w:val="24"/>
    </w:rPr>
  </w:style>
  <w:style w:type="character" w:customStyle="1" w:styleId="af1">
    <w:name w:val="批注文字 字符"/>
    <w:basedOn w:val="ac"/>
    <w:link w:val="af0"/>
    <w:qFormat/>
    <w:rPr>
      <w:kern w:val="2"/>
      <w:sz w:val="21"/>
      <w:szCs w:val="24"/>
    </w:rPr>
  </w:style>
  <w:style w:type="character" w:customStyle="1" w:styleId="aff">
    <w:name w:val="批注主题 字符"/>
    <w:basedOn w:val="af1"/>
    <w:link w:val="afe"/>
    <w:semiHidden/>
    <w:rPr>
      <w:b/>
      <w:bCs/>
      <w:kern w:val="2"/>
      <w:sz w:val="21"/>
      <w:szCs w:val="24"/>
    </w:rPr>
  </w:style>
  <w:style w:type="table" w:customStyle="1" w:styleId="32">
    <w:name w:val="网格型3"/>
    <w:basedOn w:val="ad"/>
    <w:next w:val="aff0"/>
    <w:uiPriority w:val="39"/>
    <w:qFormat/>
    <w:rsid w:val="0067534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d"/>
    <w:next w:val="aff0"/>
    <w:uiPriority w:val="39"/>
    <w:qFormat/>
    <w:rsid w:val="00A60A0E"/>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d"/>
    <w:next w:val="aff0"/>
    <w:uiPriority w:val="39"/>
    <w:qFormat/>
    <w:rsid w:val="005607F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标准文件_数字编号列项（二级）"/>
    <w:qFormat/>
    <w:rsid w:val="00E946A6"/>
    <w:pPr>
      <w:numPr>
        <w:ilvl w:val="1"/>
        <w:numId w:val="11"/>
      </w:numPr>
      <w:tabs>
        <w:tab w:val="left" w:pos="851"/>
      </w:tabs>
      <w:jc w:val="both"/>
    </w:pPr>
    <w:rPr>
      <w:rFonts w:ascii="宋体"/>
      <w:sz w:val="21"/>
    </w:rPr>
  </w:style>
  <w:style w:type="paragraph" w:customStyle="1" w:styleId="a2">
    <w:name w:val="标准文件_编号列项（三级）"/>
    <w:qFormat/>
    <w:rsid w:val="00E946A6"/>
    <w:pPr>
      <w:numPr>
        <w:ilvl w:val="2"/>
        <w:numId w:val="11"/>
      </w:numPr>
      <w:tabs>
        <w:tab w:val="left" w:pos="851"/>
      </w:tabs>
    </w:pPr>
    <w:rPr>
      <w:rFonts w:ascii="宋体"/>
      <w:sz w:val="21"/>
    </w:rPr>
  </w:style>
  <w:style w:type="paragraph" w:customStyle="1" w:styleId="a0">
    <w:name w:val="标准文件_字母编号列项（一级）"/>
    <w:qFormat/>
    <w:rsid w:val="00E946A6"/>
    <w:pPr>
      <w:numPr>
        <w:numId w:val="11"/>
      </w:numPr>
      <w:jc w:val="both"/>
    </w:pPr>
    <w:rPr>
      <w:rFonts w:ascii="宋体"/>
      <w:sz w:val="21"/>
    </w:rPr>
  </w:style>
  <w:style w:type="table" w:customStyle="1" w:styleId="60">
    <w:name w:val="网格型6"/>
    <w:basedOn w:val="ad"/>
    <w:next w:val="aff0"/>
    <w:uiPriority w:val="39"/>
    <w:qFormat/>
    <w:rsid w:val="00EC4617"/>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c">
    <w:name w:val="标准文件_正文表标题"/>
    <w:next w:val="ab"/>
    <w:rsid w:val="00EF24CE"/>
    <w:pPr>
      <w:tabs>
        <w:tab w:val="left" w:pos="0"/>
      </w:tabs>
      <w:spacing w:beforeLines="50" w:before="50" w:afterLines="50" w:after="50"/>
      <w:jc w:val="center"/>
    </w:pPr>
    <w:rPr>
      <w:rFonts w:ascii="黑体" w:eastAsia="黑体"/>
      <w:sz w:val="21"/>
    </w:rPr>
  </w:style>
  <w:style w:type="paragraph" w:styleId="afffffffd">
    <w:name w:val="Revision"/>
    <w:hidden/>
    <w:uiPriority w:val="99"/>
    <w:semiHidden/>
    <w:rsid w:val="00AB4114"/>
    <w:rPr>
      <w:kern w:val="2"/>
      <w:sz w:val="21"/>
      <w:szCs w:val="24"/>
    </w:rPr>
  </w:style>
  <w:style w:type="paragraph" w:customStyle="1" w:styleId="afffffffe">
    <w:name w:val="标准文件_表格"/>
    <w:basedOn w:val="afffffffb"/>
    <w:qFormat/>
    <w:rsid w:val="00B50167"/>
    <w:pPr>
      <w:ind w:firstLineChars="0" w:firstLine="0"/>
      <w:jc w:val="center"/>
    </w:pPr>
    <w:rPr>
      <w:sz w:val="18"/>
    </w:rPr>
  </w:style>
  <w:style w:type="paragraph" w:customStyle="1" w:styleId="affffffff">
    <w:name w:val="附录图"/>
    <w:next w:val="ab"/>
    <w:qFormat/>
    <w:rsid w:val="00D37F91"/>
    <w:pPr>
      <w:wordWrap w:val="0"/>
      <w:overflowPunct w:val="0"/>
      <w:autoSpaceDE w:val="0"/>
      <w:spacing w:beforeLines="50" w:before="50" w:afterLines="50" w:after="50"/>
      <w:jc w:val="center"/>
      <w:textAlignment w:val="baseline"/>
      <w:outlineLvl w:val="1"/>
    </w:pPr>
    <w:rPr>
      <w:rFonts w:ascii="黑体" w:eastAsia="黑体"/>
      <w:kern w:val="21"/>
      <w:sz w:val="21"/>
    </w:rPr>
  </w:style>
  <w:style w:type="character" w:styleId="affffffff0">
    <w:name w:val="Placeholder Text"/>
    <w:basedOn w:val="ac"/>
    <w:uiPriority w:val="99"/>
    <w:semiHidden/>
    <w:rsid w:val="00F22FCD"/>
    <w:rPr>
      <w:color w:val="666666"/>
    </w:rPr>
  </w:style>
  <w:style w:type="character" w:customStyle="1" w:styleId="MTEquationSection">
    <w:name w:val="MTEquationSection"/>
    <w:basedOn w:val="ac"/>
    <w:rsid w:val="00DE70FA"/>
    <w:rPr>
      <w:b/>
      <w:vanish/>
      <w:color w:val="FF0000"/>
      <w:sz w:val="32"/>
      <w:szCs w:val="32"/>
    </w:rPr>
  </w:style>
  <w:style w:type="paragraph" w:customStyle="1" w:styleId="MTDisplayEquation">
    <w:name w:val="MTDisplayEquation"/>
    <w:basedOn w:val="ab"/>
    <w:next w:val="ab"/>
    <w:link w:val="MTDisplayEquation0"/>
    <w:rsid w:val="00DE70FA"/>
    <w:pPr>
      <w:tabs>
        <w:tab w:val="center" w:pos="4160"/>
        <w:tab w:val="right" w:pos="8300"/>
      </w:tabs>
      <w:autoSpaceDE w:val="0"/>
      <w:autoSpaceDN w:val="0"/>
      <w:adjustRightInd w:val="0"/>
      <w:spacing w:line="360" w:lineRule="auto"/>
      <w:ind w:firstLineChars="200" w:firstLine="480"/>
    </w:pPr>
    <w:rPr>
      <w:kern w:val="0"/>
      <w:sz w:val="24"/>
    </w:rPr>
  </w:style>
  <w:style w:type="character" w:customStyle="1" w:styleId="MTDisplayEquation0">
    <w:name w:val="MTDisplayEquation 字符"/>
    <w:basedOn w:val="ac"/>
    <w:link w:val="MTDisplayEquation"/>
    <w:rsid w:val="00DE70FA"/>
    <w:rPr>
      <w:sz w:val="24"/>
      <w:szCs w:val="24"/>
    </w:rPr>
  </w:style>
  <w:style w:type="table" w:customStyle="1" w:styleId="70">
    <w:name w:val="网格型7"/>
    <w:basedOn w:val="ad"/>
    <w:next w:val="aff0"/>
    <w:uiPriority w:val="39"/>
    <w:qFormat/>
    <w:rsid w:val="00202DC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1">
    <w:name w:val="Unresolved Mention"/>
    <w:basedOn w:val="ac"/>
    <w:uiPriority w:val="99"/>
    <w:semiHidden/>
    <w:unhideWhenUsed/>
    <w:rsid w:val="00992D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24850">
      <w:bodyDiv w:val="1"/>
      <w:marLeft w:val="0"/>
      <w:marRight w:val="0"/>
      <w:marTop w:val="0"/>
      <w:marBottom w:val="0"/>
      <w:divBdr>
        <w:top w:val="none" w:sz="0" w:space="0" w:color="auto"/>
        <w:left w:val="none" w:sz="0" w:space="0" w:color="auto"/>
        <w:bottom w:val="none" w:sz="0" w:space="0" w:color="auto"/>
        <w:right w:val="none" w:sz="0" w:space="0" w:color="auto"/>
      </w:divBdr>
    </w:div>
    <w:div w:id="365565589">
      <w:bodyDiv w:val="1"/>
      <w:marLeft w:val="0"/>
      <w:marRight w:val="0"/>
      <w:marTop w:val="0"/>
      <w:marBottom w:val="0"/>
      <w:divBdr>
        <w:top w:val="none" w:sz="0" w:space="0" w:color="auto"/>
        <w:left w:val="none" w:sz="0" w:space="0" w:color="auto"/>
        <w:bottom w:val="none" w:sz="0" w:space="0" w:color="auto"/>
        <w:right w:val="none" w:sz="0" w:space="0" w:color="auto"/>
      </w:divBdr>
      <w:divsChild>
        <w:div w:id="1684360464">
          <w:marLeft w:val="0"/>
          <w:marRight w:val="0"/>
          <w:marTop w:val="0"/>
          <w:marBottom w:val="225"/>
          <w:divBdr>
            <w:top w:val="none" w:sz="0" w:space="0" w:color="auto"/>
            <w:left w:val="none" w:sz="0" w:space="0" w:color="auto"/>
            <w:bottom w:val="none" w:sz="0" w:space="0" w:color="auto"/>
            <w:right w:val="none" w:sz="0" w:space="0" w:color="auto"/>
          </w:divBdr>
        </w:div>
        <w:div w:id="58090602">
          <w:marLeft w:val="0"/>
          <w:marRight w:val="0"/>
          <w:marTop w:val="0"/>
          <w:marBottom w:val="225"/>
          <w:divBdr>
            <w:top w:val="none" w:sz="0" w:space="0" w:color="auto"/>
            <w:left w:val="none" w:sz="0" w:space="0" w:color="auto"/>
            <w:bottom w:val="none" w:sz="0" w:space="0" w:color="auto"/>
            <w:right w:val="none" w:sz="0" w:space="0" w:color="auto"/>
          </w:divBdr>
        </w:div>
        <w:div w:id="1809127145">
          <w:marLeft w:val="0"/>
          <w:marRight w:val="0"/>
          <w:marTop w:val="0"/>
          <w:marBottom w:val="225"/>
          <w:divBdr>
            <w:top w:val="none" w:sz="0" w:space="0" w:color="auto"/>
            <w:left w:val="none" w:sz="0" w:space="0" w:color="auto"/>
            <w:bottom w:val="none" w:sz="0" w:space="0" w:color="auto"/>
            <w:right w:val="none" w:sz="0" w:space="0" w:color="auto"/>
          </w:divBdr>
        </w:div>
        <w:div w:id="121312837">
          <w:marLeft w:val="0"/>
          <w:marRight w:val="0"/>
          <w:marTop w:val="0"/>
          <w:marBottom w:val="225"/>
          <w:divBdr>
            <w:top w:val="none" w:sz="0" w:space="0" w:color="auto"/>
            <w:left w:val="none" w:sz="0" w:space="0" w:color="auto"/>
            <w:bottom w:val="none" w:sz="0" w:space="0" w:color="auto"/>
            <w:right w:val="none" w:sz="0" w:space="0" w:color="auto"/>
          </w:divBdr>
        </w:div>
        <w:div w:id="1862934865">
          <w:marLeft w:val="0"/>
          <w:marRight w:val="0"/>
          <w:marTop w:val="0"/>
          <w:marBottom w:val="225"/>
          <w:divBdr>
            <w:top w:val="none" w:sz="0" w:space="0" w:color="auto"/>
            <w:left w:val="none" w:sz="0" w:space="0" w:color="auto"/>
            <w:bottom w:val="none" w:sz="0" w:space="0" w:color="auto"/>
            <w:right w:val="none" w:sz="0" w:space="0" w:color="auto"/>
          </w:divBdr>
        </w:div>
        <w:div w:id="942811147">
          <w:marLeft w:val="0"/>
          <w:marRight w:val="0"/>
          <w:marTop w:val="0"/>
          <w:marBottom w:val="225"/>
          <w:divBdr>
            <w:top w:val="none" w:sz="0" w:space="0" w:color="auto"/>
            <w:left w:val="none" w:sz="0" w:space="0" w:color="auto"/>
            <w:bottom w:val="none" w:sz="0" w:space="0" w:color="auto"/>
            <w:right w:val="none" w:sz="0" w:space="0" w:color="auto"/>
          </w:divBdr>
        </w:div>
        <w:div w:id="1214003826">
          <w:marLeft w:val="0"/>
          <w:marRight w:val="0"/>
          <w:marTop w:val="0"/>
          <w:marBottom w:val="225"/>
          <w:divBdr>
            <w:top w:val="none" w:sz="0" w:space="0" w:color="auto"/>
            <w:left w:val="none" w:sz="0" w:space="0" w:color="auto"/>
            <w:bottom w:val="none" w:sz="0" w:space="0" w:color="auto"/>
            <w:right w:val="none" w:sz="0" w:space="0" w:color="auto"/>
          </w:divBdr>
        </w:div>
        <w:div w:id="1159922403">
          <w:marLeft w:val="0"/>
          <w:marRight w:val="0"/>
          <w:marTop w:val="0"/>
          <w:marBottom w:val="225"/>
          <w:divBdr>
            <w:top w:val="none" w:sz="0" w:space="0" w:color="auto"/>
            <w:left w:val="none" w:sz="0" w:space="0" w:color="auto"/>
            <w:bottom w:val="none" w:sz="0" w:space="0" w:color="auto"/>
            <w:right w:val="none" w:sz="0" w:space="0" w:color="auto"/>
          </w:divBdr>
        </w:div>
        <w:div w:id="1145850986">
          <w:marLeft w:val="0"/>
          <w:marRight w:val="0"/>
          <w:marTop w:val="0"/>
          <w:marBottom w:val="225"/>
          <w:divBdr>
            <w:top w:val="none" w:sz="0" w:space="0" w:color="auto"/>
            <w:left w:val="none" w:sz="0" w:space="0" w:color="auto"/>
            <w:bottom w:val="none" w:sz="0" w:space="0" w:color="auto"/>
            <w:right w:val="none" w:sz="0" w:space="0" w:color="auto"/>
          </w:divBdr>
        </w:div>
        <w:div w:id="628779427">
          <w:marLeft w:val="0"/>
          <w:marRight w:val="0"/>
          <w:marTop w:val="0"/>
          <w:marBottom w:val="225"/>
          <w:divBdr>
            <w:top w:val="none" w:sz="0" w:space="0" w:color="auto"/>
            <w:left w:val="none" w:sz="0" w:space="0" w:color="auto"/>
            <w:bottom w:val="none" w:sz="0" w:space="0" w:color="auto"/>
            <w:right w:val="none" w:sz="0" w:space="0" w:color="auto"/>
          </w:divBdr>
        </w:div>
        <w:div w:id="932780509">
          <w:marLeft w:val="0"/>
          <w:marRight w:val="0"/>
          <w:marTop w:val="0"/>
          <w:marBottom w:val="225"/>
          <w:divBdr>
            <w:top w:val="none" w:sz="0" w:space="0" w:color="auto"/>
            <w:left w:val="none" w:sz="0" w:space="0" w:color="auto"/>
            <w:bottom w:val="none" w:sz="0" w:space="0" w:color="auto"/>
            <w:right w:val="none" w:sz="0" w:space="0" w:color="auto"/>
          </w:divBdr>
        </w:div>
        <w:div w:id="1140536133">
          <w:marLeft w:val="0"/>
          <w:marRight w:val="0"/>
          <w:marTop w:val="0"/>
          <w:marBottom w:val="225"/>
          <w:divBdr>
            <w:top w:val="none" w:sz="0" w:space="0" w:color="auto"/>
            <w:left w:val="none" w:sz="0" w:space="0" w:color="auto"/>
            <w:bottom w:val="none" w:sz="0" w:space="0" w:color="auto"/>
            <w:right w:val="none" w:sz="0" w:space="0" w:color="auto"/>
          </w:divBdr>
        </w:div>
        <w:div w:id="1858344819">
          <w:marLeft w:val="0"/>
          <w:marRight w:val="0"/>
          <w:marTop w:val="0"/>
          <w:marBottom w:val="225"/>
          <w:divBdr>
            <w:top w:val="none" w:sz="0" w:space="0" w:color="auto"/>
            <w:left w:val="none" w:sz="0" w:space="0" w:color="auto"/>
            <w:bottom w:val="none" w:sz="0" w:space="0" w:color="auto"/>
            <w:right w:val="none" w:sz="0" w:space="0" w:color="auto"/>
          </w:divBdr>
        </w:div>
        <w:div w:id="586305980">
          <w:marLeft w:val="0"/>
          <w:marRight w:val="0"/>
          <w:marTop w:val="0"/>
          <w:marBottom w:val="225"/>
          <w:divBdr>
            <w:top w:val="none" w:sz="0" w:space="0" w:color="auto"/>
            <w:left w:val="none" w:sz="0" w:space="0" w:color="auto"/>
            <w:bottom w:val="none" w:sz="0" w:space="0" w:color="auto"/>
            <w:right w:val="none" w:sz="0" w:space="0" w:color="auto"/>
          </w:divBdr>
        </w:div>
        <w:div w:id="904340832">
          <w:marLeft w:val="0"/>
          <w:marRight w:val="0"/>
          <w:marTop w:val="0"/>
          <w:marBottom w:val="225"/>
          <w:divBdr>
            <w:top w:val="none" w:sz="0" w:space="0" w:color="auto"/>
            <w:left w:val="none" w:sz="0" w:space="0" w:color="auto"/>
            <w:bottom w:val="none" w:sz="0" w:space="0" w:color="auto"/>
            <w:right w:val="none" w:sz="0" w:space="0" w:color="auto"/>
          </w:divBdr>
        </w:div>
        <w:div w:id="1837722961">
          <w:marLeft w:val="0"/>
          <w:marRight w:val="0"/>
          <w:marTop w:val="0"/>
          <w:marBottom w:val="225"/>
          <w:divBdr>
            <w:top w:val="none" w:sz="0" w:space="0" w:color="auto"/>
            <w:left w:val="none" w:sz="0" w:space="0" w:color="auto"/>
            <w:bottom w:val="none" w:sz="0" w:space="0" w:color="auto"/>
            <w:right w:val="none" w:sz="0" w:space="0" w:color="auto"/>
          </w:divBdr>
        </w:div>
        <w:div w:id="2008289465">
          <w:marLeft w:val="0"/>
          <w:marRight w:val="0"/>
          <w:marTop w:val="0"/>
          <w:marBottom w:val="225"/>
          <w:divBdr>
            <w:top w:val="none" w:sz="0" w:space="0" w:color="auto"/>
            <w:left w:val="none" w:sz="0" w:space="0" w:color="auto"/>
            <w:bottom w:val="none" w:sz="0" w:space="0" w:color="auto"/>
            <w:right w:val="none" w:sz="0" w:space="0" w:color="auto"/>
          </w:divBdr>
        </w:div>
        <w:div w:id="424762854">
          <w:marLeft w:val="0"/>
          <w:marRight w:val="0"/>
          <w:marTop w:val="0"/>
          <w:marBottom w:val="225"/>
          <w:divBdr>
            <w:top w:val="none" w:sz="0" w:space="0" w:color="auto"/>
            <w:left w:val="none" w:sz="0" w:space="0" w:color="auto"/>
            <w:bottom w:val="none" w:sz="0" w:space="0" w:color="auto"/>
            <w:right w:val="none" w:sz="0" w:space="0" w:color="auto"/>
          </w:divBdr>
        </w:div>
        <w:div w:id="1637760881">
          <w:marLeft w:val="0"/>
          <w:marRight w:val="0"/>
          <w:marTop w:val="0"/>
          <w:marBottom w:val="225"/>
          <w:divBdr>
            <w:top w:val="none" w:sz="0" w:space="0" w:color="auto"/>
            <w:left w:val="none" w:sz="0" w:space="0" w:color="auto"/>
            <w:bottom w:val="none" w:sz="0" w:space="0" w:color="auto"/>
            <w:right w:val="none" w:sz="0" w:space="0" w:color="auto"/>
          </w:divBdr>
        </w:div>
        <w:div w:id="1796216730">
          <w:marLeft w:val="0"/>
          <w:marRight w:val="0"/>
          <w:marTop w:val="0"/>
          <w:marBottom w:val="225"/>
          <w:divBdr>
            <w:top w:val="none" w:sz="0" w:space="0" w:color="auto"/>
            <w:left w:val="none" w:sz="0" w:space="0" w:color="auto"/>
            <w:bottom w:val="none" w:sz="0" w:space="0" w:color="auto"/>
            <w:right w:val="none" w:sz="0" w:space="0" w:color="auto"/>
          </w:divBdr>
        </w:div>
        <w:div w:id="215748819">
          <w:marLeft w:val="0"/>
          <w:marRight w:val="0"/>
          <w:marTop w:val="0"/>
          <w:marBottom w:val="225"/>
          <w:divBdr>
            <w:top w:val="none" w:sz="0" w:space="0" w:color="auto"/>
            <w:left w:val="none" w:sz="0" w:space="0" w:color="auto"/>
            <w:bottom w:val="none" w:sz="0" w:space="0" w:color="auto"/>
            <w:right w:val="none" w:sz="0" w:space="0" w:color="auto"/>
          </w:divBdr>
        </w:div>
        <w:div w:id="1946840611">
          <w:marLeft w:val="0"/>
          <w:marRight w:val="0"/>
          <w:marTop w:val="0"/>
          <w:marBottom w:val="225"/>
          <w:divBdr>
            <w:top w:val="none" w:sz="0" w:space="0" w:color="auto"/>
            <w:left w:val="none" w:sz="0" w:space="0" w:color="auto"/>
            <w:bottom w:val="none" w:sz="0" w:space="0" w:color="auto"/>
            <w:right w:val="none" w:sz="0" w:space="0" w:color="auto"/>
          </w:divBdr>
        </w:div>
        <w:div w:id="1401246709">
          <w:marLeft w:val="0"/>
          <w:marRight w:val="0"/>
          <w:marTop w:val="0"/>
          <w:marBottom w:val="225"/>
          <w:divBdr>
            <w:top w:val="none" w:sz="0" w:space="0" w:color="auto"/>
            <w:left w:val="none" w:sz="0" w:space="0" w:color="auto"/>
            <w:bottom w:val="none" w:sz="0" w:space="0" w:color="auto"/>
            <w:right w:val="none" w:sz="0" w:space="0" w:color="auto"/>
          </w:divBdr>
        </w:div>
        <w:div w:id="96104948">
          <w:marLeft w:val="0"/>
          <w:marRight w:val="0"/>
          <w:marTop w:val="0"/>
          <w:marBottom w:val="225"/>
          <w:divBdr>
            <w:top w:val="none" w:sz="0" w:space="0" w:color="auto"/>
            <w:left w:val="none" w:sz="0" w:space="0" w:color="auto"/>
            <w:bottom w:val="none" w:sz="0" w:space="0" w:color="auto"/>
            <w:right w:val="none" w:sz="0" w:space="0" w:color="auto"/>
          </w:divBdr>
        </w:div>
        <w:div w:id="1520271357">
          <w:marLeft w:val="0"/>
          <w:marRight w:val="0"/>
          <w:marTop w:val="0"/>
          <w:marBottom w:val="225"/>
          <w:divBdr>
            <w:top w:val="none" w:sz="0" w:space="0" w:color="auto"/>
            <w:left w:val="none" w:sz="0" w:space="0" w:color="auto"/>
            <w:bottom w:val="none" w:sz="0" w:space="0" w:color="auto"/>
            <w:right w:val="none" w:sz="0" w:space="0" w:color="auto"/>
          </w:divBdr>
        </w:div>
        <w:div w:id="1294142335">
          <w:marLeft w:val="0"/>
          <w:marRight w:val="0"/>
          <w:marTop w:val="0"/>
          <w:marBottom w:val="225"/>
          <w:divBdr>
            <w:top w:val="none" w:sz="0" w:space="0" w:color="auto"/>
            <w:left w:val="none" w:sz="0" w:space="0" w:color="auto"/>
            <w:bottom w:val="none" w:sz="0" w:space="0" w:color="auto"/>
            <w:right w:val="none" w:sz="0" w:space="0" w:color="auto"/>
          </w:divBdr>
        </w:div>
        <w:div w:id="180167768">
          <w:marLeft w:val="0"/>
          <w:marRight w:val="0"/>
          <w:marTop w:val="0"/>
          <w:marBottom w:val="225"/>
          <w:divBdr>
            <w:top w:val="none" w:sz="0" w:space="0" w:color="auto"/>
            <w:left w:val="none" w:sz="0" w:space="0" w:color="auto"/>
            <w:bottom w:val="none" w:sz="0" w:space="0" w:color="auto"/>
            <w:right w:val="none" w:sz="0" w:space="0" w:color="auto"/>
          </w:divBdr>
        </w:div>
        <w:div w:id="1568031215">
          <w:marLeft w:val="0"/>
          <w:marRight w:val="0"/>
          <w:marTop w:val="0"/>
          <w:marBottom w:val="225"/>
          <w:divBdr>
            <w:top w:val="none" w:sz="0" w:space="0" w:color="auto"/>
            <w:left w:val="none" w:sz="0" w:space="0" w:color="auto"/>
            <w:bottom w:val="none" w:sz="0" w:space="0" w:color="auto"/>
            <w:right w:val="none" w:sz="0" w:space="0" w:color="auto"/>
          </w:divBdr>
        </w:div>
        <w:div w:id="177696614">
          <w:marLeft w:val="0"/>
          <w:marRight w:val="0"/>
          <w:marTop w:val="0"/>
          <w:marBottom w:val="225"/>
          <w:divBdr>
            <w:top w:val="none" w:sz="0" w:space="0" w:color="auto"/>
            <w:left w:val="none" w:sz="0" w:space="0" w:color="auto"/>
            <w:bottom w:val="none" w:sz="0" w:space="0" w:color="auto"/>
            <w:right w:val="none" w:sz="0" w:space="0" w:color="auto"/>
          </w:divBdr>
        </w:div>
        <w:div w:id="1399980269">
          <w:marLeft w:val="0"/>
          <w:marRight w:val="0"/>
          <w:marTop w:val="0"/>
          <w:marBottom w:val="225"/>
          <w:divBdr>
            <w:top w:val="none" w:sz="0" w:space="0" w:color="auto"/>
            <w:left w:val="none" w:sz="0" w:space="0" w:color="auto"/>
            <w:bottom w:val="none" w:sz="0" w:space="0" w:color="auto"/>
            <w:right w:val="none" w:sz="0" w:space="0" w:color="auto"/>
          </w:divBdr>
        </w:div>
        <w:div w:id="2043549764">
          <w:marLeft w:val="0"/>
          <w:marRight w:val="0"/>
          <w:marTop w:val="0"/>
          <w:marBottom w:val="225"/>
          <w:divBdr>
            <w:top w:val="none" w:sz="0" w:space="0" w:color="auto"/>
            <w:left w:val="none" w:sz="0" w:space="0" w:color="auto"/>
            <w:bottom w:val="none" w:sz="0" w:space="0" w:color="auto"/>
            <w:right w:val="none" w:sz="0" w:space="0" w:color="auto"/>
          </w:divBdr>
        </w:div>
        <w:div w:id="1818764799">
          <w:marLeft w:val="0"/>
          <w:marRight w:val="0"/>
          <w:marTop w:val="0"/>
          <w:marBottom w:val="225"/>
          <w:divBdr>
            <w:top w:val="none" w:sz="0" w:space="0" w:color="auto"/>
            <w:left w:val="none" w:sz="0" w:space="0" w:color="auto"/>
            <w:bottom w:val="none" w:sz="0" w:space="0" w:color="auto"/>
            <w:right w:val="none" w:sz="0" w:space="0" w:color="auto"/>
          </w:divBdr>
        </w:div>
        <w:div w:id="999770935">
          <w:marLeft w:val="0"/>
          <w:marRight w:val="0"/>
          <w:marTop w:val="0"/>
          <w:marBottom w:val="225"/>
          <w:divBdr>
            <w:top w:val="none" w:sz="0" w:space="0" w:color="auto"/>
            <w:left w:val="none" w:sz="0" w:space="0" w:color="auto"/>
            <w:bottom w:val="none" w:sz="0" w:space="0" w:color="auto"/>
            <w:right w:val="none" w:sz="0" w:space="0" w:color="auto"/>
          </w:divBdr>
        </w:div>
        <w:div w:id="591551837">
          <w:marLeft w:val="0"/>
          <w:marRight w:val="0"/>
          <w:marTop w:val="0"/>
          <w:marBottom w:val="225"/>
          <w:divBdr>
            <w:top w:val="none" w:sz="0" w:space="0" w:color="auto"/>
            <w:left w:val="none" w:sz="0" w:space="0" w:color="auto"/>
            <w:bottom w:val="none" w:sz="0" w:space="0" w:color="auto"/>
            <w:right w:val="none" w:sz="0" w:space="0" w:color="auto"/>
          </w:divBdr>
        </w:div>
        <w:div w:id="1459642162">
          <w:marLeft w:val="0"/>
          <w:marRight w:val="0"/>
          <w:marTop w:val="0"/>
          <w:marBottom w:val="225"/>
          <w:divBdr>
            <w:top w:val="none" w:sz="0" w:space="0" w:color="auto"/>
            <w:left w:val="none" w:sz="0" w:space="0" w:color="auto"/>
            <w:bottom w:val="none" w:sz="0" w:space="0" w:color="auto"/>
            <w:right w:val="none" w:sz="0" w:space="0" w:color="auto"/>
          </w:divBdr>
        </w:div>
        <w:div w:id="605618262">
          <w:marLeft w:val="0"/>
          <w:marRight w:val="0"/>
          <w:marTop w:val="0"/>
          <w:marBottom w:val="225"/>
          <w:divBdr>
            <w:top w:val="none" w:sz="0" w:space="0" w:color="auto"/>
            <w:left w:val="none" w:sz="0" w:space="0" w:color="auto"/>
            <w:bottom w:val="none" w:sz="0" w:space="0" w:color="auto"/>
            <w:right w:val="none" w:sz="0" w:space="0" w:color="auto"/>
          </w:divBdr>
        </w:div>
        <w:div w:id="2109347935">
          <w:marLeft w:val="0"/>
          <w:marRight w:val="0"/>
          <w:marTop w:val="0"/>
          <w:marBottom w:val="225"/>
          <w:divBdr>
            <w:top w:val="none" w:sz="0" w:space="0" w:color="auto"/>
            <w:left w:val="none" w:sz="0" w:space="0" w:color="auto"/>
            <w:bottom w:val="none" w:sz="0" w:space="0" w:color="auto"/>
            <w:right w:val="none" w:sz="0" w:space="0" w:color="auto"/>
          </w:divBdr>
        </w:div>
        <w:div w:id="2092503593">
          <w:marLeft w:val="0"/>
          <w:marRight w:val="0"/>
          <w:marTop w:val="0"/>
          <w:marBottom w:val="225"/>
          <w:divBdr>
            <w:top w:val="none" w:sz="0" w:space="0" w:color="auto"/>
            <w:left w:val="none" w:sz="0" w:space="0" w:color="auto"/>
            <w:bottom w:val="none" w:sz="0" w:space="0" w:color="auto"/>
            <w:right w:val="none" w:sz="0" w:space="0" w:color="auto"/>
          </w:divBdr>
        </w:div>
        <w:div w:id="978729596">
          <w:marLeft w:val="0"/>
          <w:marRight w:val="0"/>
          <w:marTop w:val="0"/>
          <w:marBottom w:val="225"/>
          <w:divBdr>
            <w:top w:val="none" w:sz="0" w:space="0" w:color="auto"/>
            <w:left w:val="none" w:sz="0" w:space="0" w:color="auto"/>
            <w:bottom w:val="none" w:sz="0" w:space="0" w:color="auto"/>
            <w:right w:val="none" w:sz="0" w:space="0" w:color="auto"/>
          </w:divBdr>
        </w:div>
        <w:div w:id="1296789094">
          <w:marLeft w:val="0"/>
          <w:marRight w:val="0"/>
          <w:marTop w:val="0"/>
          <w:marBottom w:val="225"/>
          <w:divBdr>
            <w:top w:val="none" w:sz="0" w:space="0" w:color="auto"/>
            <w:left w:val="none" w:sz="0" w:space="0" w:color="auto"/>
            <w:bottom w:val="none" w:sz="0" w:space="0" w:color="auto"/>
            <w:right w:val="none" w:sz="0" w:space="0" w:color="auto"/>
          </w:divBdr>
        </w:div>
        <w:div w:id="2059278855">
          <w:marLeft w:val="0"/>
          <w:marRight w:val="0"/>
          <w:marTop w:val="0"/>
          <w:marBottom w:val="225"/>
          <w:divBdr>
            <w:top w:val="none" w:sz="0" w:space="0" w:color="auto"/>
            <w:left w:val="none" w:sz="0" w:space="0" w:color="auto"/>
            <w:bottom w:val="none" w:sz="0" w:space="0" w:color="auto"/>
            <w:right w:val="none" w:sz="0" w:space="0" w:color="auto"/>
          </w:divBdr>
        </w:div>
        <w:div w:id="162277903">
          <w:marLeft w:val="0"/>
          <w:marRight w:val="0"/>
          <w:marTop w:val="0"/>
          <w:marBottom w:val="225"/>
          <w:divBdr>
            <w:top w:val="none" w:sz="0" w:space="0" w:color="auto"/>
            <w:left w:val="none" w:sz="0" w:space="0" w:color="auto"/>
            <w:bottom w:val="none" w:sz="0" w:space="0" w:color="auto"/>
            <w:right w:val="none" w:sz="0" w:space="0" w:color="auto"/>
          </w:divBdr>
        </w:div>
        <w:div w:id="227964734">
          <w:marLeft w:val="0"/>
          <w:marRight w:val="0"/>
          <w:marTop w:val="0"/>
          <w:marBottom w:val="225"/>
          <w:divBdr>
            <w:top w:val="none" w:sz="0" w:space="0" w:color="auto"/>
            <w:left w:val="none" w:sz="0" w:space="0" w:color="auto"/>
            <w:bottom w:val="none" w:sz="0" w:space="0" w:color="auto"/>
            <w:right w:val="none" w:sz="0" w:space="0" w:color="auto"/>
          </w:divBdr>
        </w:div>
        <w:div w:id="792215501">
          <w:marLeft w:val="0"/>
          <w:marRight w:val="0"/>
          <w:marTop w:val="0"/>
          <w:marBottom w:val="225"/>
          <w:divBdr>
            <w:top w:val="none" w:sz="0" w:space="0" w:color="auto"/>
            <w:left w:val="none" w:sz="0" w:space="0" w:color="auto"/>
            <w:bottom w:val="none" w:sz="0" w:space="0" w:color="auto"/>
            <w:right w:val="none" w:sz="0" w:space="0" w:color="auto"/>
          </w:divBdr>
        </w:div>
        <w:div w:id="1116679492">
          <w:marLeft w:val="0"/>
          <w:marRight w:val="0"/>
          <w:marTop w:val="0"/>
          <w:marBottom w:val="225"/>
          <w:divBdr>
            <w:top w:val="none" w:sz="0" w:space="0" w:color="auto"/>
            <w:left w:val="none" w:sz="0" w:space="0" w:color="auto"/>
            <w:bottom w:val="none" w:sz="0" w:space="0" w:color="auto"/>
            <w:right w:val="none" w:sz="0" w:space="0" w:color="auto"/>
          </w:divBdr>
        </w:div>
        <w:div w:id="323631785">
          <w:marLeft w:val="0"/>
          <w:marRight w:val="0"/>
          <w:marTop w:val="0"/>
          <w:marBottom w:val="225"/>
          <w:divBdr>
            <w:top w:val="none" w:sz="0" w:space="0" w:color="auto"/>
            <w:left w:val="none" w:sz="0" w:space="0" w:color="auto"/>
            <w:bottom w:val="none" w:sz="0" w:space="0" w:color="auto"/>
            <w:right w:val="none" w:sz="0" w:space="0" w:color="auto"/>
          </w:divBdr>
        </w:div>
        <w:div w:id="262029981">
          <w:marLeft w:val="0"/>
          <w:marRight w:val="0"/>
          <w:marTop w:val="0"/>
          <w:marBottom w:val="225"/>
          <w:divBdr>
            <w:top w:val="none" w:sz="0" w:space="0" w:color="auto"/>
            <w:left w:val="none" w:sz="0" w:space="0" w:color="auto"/>
            <w:bottom w:val="none" w:sz="0" w:space="0" w:color="auto"/>
            <w:right w:val="none" w:sz="0" w:space="0" w:color="auto"/>
          </w:divBdr>
        </w:div>
        <w:div w:id="245774184">
          <w:marLeft w:val="0"/>
          <w:marRight w:val="0"/>
          <w:marTop w:val="0"/>
          <w:marBottom w:val="225"/>
          <w:divBdr>
            <w:top w:val="none" w:sz="0" w:space="0" w:color="auto"/>
            <w:left w:val="none" w:sz="0" w:space="0" w:color="auto"/>
            <w:bottom w:val="none" w:sz="0" w:space="0" w:color="auto"/>
            <w:right w:val="none" w:sz="0" w:space="0" w:color="auto"/>
          </w:divBdr>
        </w:div>
        <w:div w:id="863909766">
          <w:marLeft w:val="0"/>
          <w:marRight w:val="0"/>
          <w:marTop w:val="0"/>
          <w:marBottom w:val="225"/>
          <w:divBdr>
            <w:top w:val="none" w:sz="0" w:space="0" w:color="auto"/>
            <w:left w:val="none" w:sz="0" w:space="0" w:color="auto"/>
            <w:bottom w:val="none" w:sz="0" w:space="0" w:color="auto"/>
            <w:right w:val="none" w:sz="0" w:space="0" w:color="auto"/>
          </w:divBdr>
        </w:div>
        <w:div w:id="868176163">
          <w:marLeft w:val="0"/>
          <w:marRight w:val="0"/>
          <w:marTop w:val="0"/>
          <w:marBottom w:val="225"/>
          <w:divBdr>
            <w:top w:val="none" w:sz="0" w:space="0" w:color="auto"/>
            <w:left w:val="none" w:sz="0" w:space="0" w:color="auto"/>
            <w:bottom w:val="none" w:sz="0" w:space="0" w:color="auto"/>
            <w:right w:val="none" w:sz="0" w:space="0" w:color="auto"/>
          </w:divBdr>
        </w:div>
        <w:div w:id="984120302">
          <w:marLeft w:val="0"/>
          <w:marRight w:val="0"/>
          <w:marTop w:val="0"/>
          <w:marBottom w:val="225"/>
          <w:divBdr>
            <w:top w:val="none" w:sz="0" w:space="0" w:color="auto"/>
            <w:left w:val="none" w:sz="0" w:space="0" w:color="auto"/>
            <w:bottom w:val="none" w:sz="0" w:space="0" w:color="auto"/>
            <w:right w:val="none" w:sz="0" w:space="0" w:color="auto"/>
          </w:divBdr>
        </w:div>
        <w:div w:id="322395165">
          <w:marLeft w:val="0"/>
          <w:marRight w:val="0"/>
          <w:marTop w:val="0"/>
          <w:marBottom w:val="225"/>
          <w:divBdr>
            <w:top w:val="none" w:sz="0" w:space="0" w:color="auto"/>
            <w:left w:val="none" w:sz="0" w:space="0" w:color="auto"/>
            <w:bottom w:val="none" w:sz="0" w:space="0" w:color="auto"/>
            <w:right w:val="none" w:sz="0" w:space="0" w:color="auto"/>
          </w:divBdr>
        </w:div>
        <w:div w:id="1540051786">
          <w:marLeft w:val="0"/>
          <w:marRight w:val="0"/>
          <w:marTop w:val="0"/>
          <w:marBottom w:val="225"/>
          <w:divBdr>
            <w:top w:val="none" w:sz="0" w:space="0" w:color="auto"/>
            <w:left w:val="none" w:sz="0" w:space="0" w:color="auto"/>
            <w:bottom w:val="none" w:sz="0" w:space="0" w:color="auto"/>
            <w:right w:val="none" w:sz="0" w:space="0" w:color="auto"/>
          </w:divBdr>
        </w:div>
        <w:div w:id="1757627262">
          <w:marLeft w:val="0"/>
          <w:marRight w:val="0"/>
          <w:marTop w:val="0"/>
          <w:marBottom w:val="225"/>
          <w:divBdr>
            <w:top w:val="none" w:sz="0" w:space="0" w:color="auto"/>
            <w:left w:val="none" w:sz="0" w:space="0" w:color="auto"/>
            <w:bottom w:val="none" w:sz="0" w:space="0" w:color="auto"/>
            <w:right w:val="none" w:sz="0" w:space="0" w:color="auto"/>
          </w:divBdr>
        </w:div>
        <w:div w:id="1710760573">
          <w:marLeft w:val="0"/>
          <w:marRight w:val="0"/>
          <w:marTop w:val="0"/>
          <w:marBottom w:val="225"/>
          <w:divBdr>
            <w:top w:val="none" w:sz="0" w:space="0" w:color="auto"/>
            <w:left w:val="none" w:sz="0" w:space="0" w:color="auto"/>
            <w:bottom w:val="none" w:sz="0" w:space="0" w:color="auto"/>
            <w:right w:val="none" w:sz="0" w:space="0" w:color="auto"/>
          </w:divBdr>
        </w:div>
        <w:div w:id="487785989">
          <w:marLeft w:val="0"/>
          <w:marRight w:val="0"/>
          <w:marTop w:val="0"/>
          <w:marBottom w:val="225"/>
          <w:divBdr>
            <w:top w:val="none" w:sz="0" w:space="0" w:color="auto"/>
            <w:left w:val="none" w:sz="0" w:space="0" w:color="auto"/>
            <w:bottom w:val="none" w:sz="0" w:space="0" w:color="auto"/>
            <w:right w:val="none" w:sz="0" w:space="0" w:color="auto"/>
          </w:divBdr>
        </w:div>
        <w:div w:id="1778015228">
          <w:marLeft w:val="0"/>
          <w:marRight w:val="0"/>
          <w:marTop w:val="0"/>
          <w:marBottom w:val="225"/>
          <w:divBdr>
            <w:top w:val="none" w:sz="0" w:space="0" w:color="auto"/>
            <w:left w:val="none" w:sz="0" w:space="0" w:color="auto"/>
            <w:bottom w:val="none" w:sz="0" w:space="0" w:color="auto"/>
            <w:right w:val="none" w:sz="0" w:space="0" w:color="auto"/>
          </w:divBdr>
        </w:div>
        <w:div w:id="1670789109">
          <w:marLeft w:val="0"/>
          <w:marRight w:val="0"/>
          <w:marTop w:val="0"/>
          <w:marBottom w:val="225"/>
          <w:divBdr>
            <w:top w:val="none" w:sz="0" w:space="0" w:color="auto"/>
            <w:left w:val="none" w:sz="0" w:space="0" w:color="auto"/>
            <w:bottom w:val="none" w:sz="0" w:space="0" w:color="auto"/>
            <w:right w:val="none" w:sz="0" w:space="0" w:color="auto"/>
          </w:divBdr>
        </w:div>
        <w:div w:id="1138719818">
          <w:marLeft w:val="0"/>
          <w:marRight w:val="0"/>
          <w:marTop w:val="0"/>
          <w:marBottom w:val="225"/>
          <w:divBdr>
            <w:top w:val="none" w:sz="0" w:space="0" w:color="auto"/>
            <w:left w:val="none" w:sz="0" w:space="0" w:color="auto"/>
            <w:bottom w:val="none" w:sz="0" w:space="0" w:color="auto"/>
            <w:right w:val="none" w:sz="0" w:space="0" w:color="auto"/>
          </w:divBdr>
        </w:div>
        <w:div w:id="1134252738">
          <w:marLeft w:val="0"/>
          <w:marRight w:val="0"/>
          <w:marTop w:val="0"/>
          <w:marBottom w:val="225"/>
          <w:divBdr>
            <w:top w:val="none" w:sz="0" w:space="0" w:color="auto"/>
            <w:left w:val="none" w:sz="0" w:space="0" w:color="auto"/>
            <w:bottom w:val="none" w:sz="0" w:space="0" w:color="auto"/>
            <w:right w:val="none" w:sz="0" w:space="0" w:color="auto"/>
          </w:divBdr>
        </w:div>
        <w:div w:id="253637627">
          <w:marLeft w:val="0"/>
          <w:marRight w:val="0"/>
          <w:marTop w:val="0"/>
          <w:marBottom w:val="225"/>
          <w:divBdr>
            <w:top w:val="none" w:sz="0" w:space="0" w:color="auto"/>
            <w:left w:val="none" w:sz="0" w:space="0" w:color="auto"/>
            <w:bottom w:val="none" w:sz="0" w:space="0" w:color="auto"/>
            <w:right w:val="none" w:sz="0" w:space="0" w:color="auto"/>
          </w:divBdr>
        </w:div>
        <w:div w:id="1187059429">
          <w:marLeft w:val="0"/>
          <w:marRight w:val="0"/>
          <w:marTop w:val="0"/>
          <w:marBottom w:val="225"/>
          <w:divBdr>
            <w:top w:val="none" w:sz="0" w:space="0" w:color="auto"/>
            <w:left w:val="none" w:sz="0" w:space="0" w:color="auto"/>
            <w:bottom w:val="none" w:sz="0" w:space="0" w:color="auto"/>
            <w:right w:val="none" w:sz="0" w:space="0" w:color="auto"/>
          </w:divBdr>
        </w:div>
        <w:div w:id="1736929698">
          <w:marLeft w:val="0"/>
          <w:marRight w:val="0"/>
          <w:marTop w:val="0"/>
          <w:marBottom w:val="225"/>
          <w:divBdr>
            <w:top w:val="none" w:sz="0" w:space="0" w:color="auto"/>
            <w:left w:val="none" w:sz="0" w:space="0" w:color="auto"/>
            <w:bottom w:val="none" w:sz="0" w:space="0" w:color="auto"/>
            <w:right w:val="none" w:sz="0" w:space="0" w:color="auto"/>
          </w:divBdr>
        </w:div>
        <w:div w:id="1938324113">
          <w:marLeft w:val="0"/>
          <w:marRight w:val="0"/>
          <w:marTop w:val="0"/>
          <w:marBottom w:val="225"/>
          <w:divBdr>
            <w:top w:val="none" w:sz="0" w:space="0" w:color="auto"/>
            <w:left w:val="none" w:sz="0" w:space="0" w:color="auto"/>
            <w:bottom w:val="none" w:sz="0" w:space="0" w:color="auto"/>
            <w:right w:val="none" w:sz="0" w:space="0" w:color="auto"/>
          </w:divBdr>
        </w:div>
        <w:div w:id="1119493413">
          <w:marLeft w:val="0"/>
          <w:marRight w:val="0"/>
          <w:marTop w:val="0"/>
          <w:marBottom w:val="225"/>
          <w:divBdr>
            <w:top w:val="none" w:sz="0" w:space="0" w:color="auto"/>
            <w:left w:val="none" w:sz="0" w:space="0" w:color="auto"/>
            <w:bottom w:val="none" w:sz="0" w:space="0" w:color="auto"/>
            <w:right w:val="none" w:sz="0" w:space="0" w:color="auto"/>
          </w:divBdr>
        </w:div>
        <w:div w:id="932127158">
          <w:marLeft w:val="0"/>
          <w:marRight w:val="0"/>
          <w:marTop w:val="0"/>
          <w:marBottom w:val="225"/>
          <w:divBdr>
            <w:top w:val="none" w:sz="0" w:space="0" w:color="auto"/>
            <w:left w:val="none" w:sz="0" w:space="0" w:color="auto"/>
            <w:bottom w:val="none" w:sz="0" w:space="0" w:color="auto"/>
            <w:right w:val="none" w:sz="0" w:space="0" w:color="auto"/>
          </w:divBdr>
        </w:div>
        <w:div w:id="1400204803">
          <w:marLeft w:val="0"/>
          <w:marRight w:val="0"/>
          <w:marTop w:val="0"/>
          <w:marBottom w:val="225"/>
          <w:divBdr>
            <w:top w:val="none" w:sz="0" w:space="0" w:color="auto"/>
            <w:left w:val="none" w:sz="0" w:space="0" w:color="auto"/>
            <w:bottom w:val="none" w:sz="0" w:space="0" w:color="auto"/>
            <w:right w:val="none" w:sz="0" w:space="0" w:color="auto"/>
          </w:divBdr>
        </w:div>
        <w:div w:id="115679030">
          <w:marLeft w:val="0"/>
          <w:marRight w:val="0"/>
          <w:marTop w:val="0"/>
          <w:marBottom w:val="225"/>
          <w:divBdr>
            <w:top w:val="none" w:sz="0" w:space="0" w:color="auto"/>
            <w:left w:val="none" w:sz="0" w:space="0" w:color="auto"/>
            <w:bottom w:val="none" w:sz="0" w:space="0" w:color="auto"/>
            <w:right w:val="none" w:sz="0" w:space="0" w:color="auto"/>
          </w:divBdr>
        </w:div>
        <w:div w:id="1773435412">
          <w:marLeft w:val="0"/>
          <w:marRight w:val="0"/>
          <w:marTop w:val="0"/>
          <w:marBottom w:val="225"/>
          <w:divBdr>
            <w:top w:val="none" w:sz="0" w:space="0" w:color="auto"/>
            <w:left w:val="none" w:sz="0" w:space="0" w:color="auto"/>
            <w:bottom w:val="none" w:sz="0" w:space="0" w:color="auto"/>
            <w:right w:val="none" w:sz="0" w:space="0" w:color="auto"/>
          </w:divBdr>
        </w:div>
        <w:div w:id="1851600864">
          <w:marLeft w:val="0"/>
          <w:marRight w:val="0"/>
          <w:marTop w:val="0"/>
          <w:marBottom w:val="225"/>
          <w:divBdr>
            <w:top w:val="none" w:sz="0" w:space="0" w:color="auto"/>
            <w:left w:val="none" w:sz="0" w:space="0" w:color="auto"/>
            <w:bottom w:val="none" w:sz="0" w:space="0" w:color="auto"/>
            <w:right w:val="none" w:sz="0" w:space="0" w:color="auto"/>
          </w:divBdr>
        </w:div>
        <w:div w:id="710151068">
          <w:marLeft w:val="0"/>
          <w:marRight w:val="0"/>
          <w:marTop w:val="0"/>
          <w:marBottom w:val="225"/>
          <w:divBdr>
            <w:top w:val="none" w:sz="0" w:space="0" w:color="auto"/>
            <w:left w:val="none" w:sz="0" w:space="0" w:color="auto"/>
            <w:bottom w:val="none" w:sz="0" w:space="0" w:color="auto"/>
            <w:right w:val="none" w:sz="0" w:space="0" w:color="auto"/>
          </w:divBdr>
        </w:div>
        <w:div w:id="1821997380">
          <w:marLeft w:val="0"/>
          <w:marRight w:val="0"/>
          <w:marTop w:val="0"/>
          <w:marBottom w:val="225"/>
          <w:divBdr>
            <w:top w:val="none" w:sz="0" w:space="0" w:color="auto"/>
            <w:left w:val="none" w:sz="0" w:space="0" w:color="auto"/>
            <w:bottom w:val="none" w:sz="0" w:space="0" w:color="auto"/>
            <w:right w:val="none" w:sz="0" w:space="0" w:color="auto"/>
          </w:divBdr>
        </w:div>
        <w:div w:id="1211183507">
          <w:marLeft w:val="0"/>
          <w:marRight w:val="0"/>
          <w:marTop w:val="0"/>
          <w:marBottom w:val="225"/>
          <w:divBdr>
            <w:top w:val="none" w:sz="0" w:space="0" w:color="auto"/>
            <w:left w:val="none" w:sz="0" w:space="0" w:color="auto"/>
            <w:bottom w:val="none" w:sz="0" w:space="0" w:color="auto"/>
            <w:right w:val="none" w:sz="0" w:space="0" w:color="auto"/>
          </w:divBdr>
        </w:div>
        <w:div w:id="1738429460">
          <w:marLeft w:val="0"/>
          <w:marRight w:val="0"/>
          <w:marTop w:val="0"/>
          <w:marBottom w:val="225"/>
          <w:divBdr>
            <w:top w:val="none" w:sz="0" w:space="0" w:color="auto"/>
            <w:left w:val="none" w:sz="0" w:space="0" w:color="auto"/>
            <w:bottom w:val="none" w:sz="0" w:space="0" w:color="auto"/>
            <w:right w:val="none" w:sz="0" w:space="0" w:color="auto"/>
          </w:divBdr>
        </w:div>
        <w:div w:id="583536926">
          <w:marLeft w:val="0"/>
          <w:marRight w:val="0"/>
          <w:marTop w:val="0"/>
          <w:marBottom w:val="225"/>
          <w:divBdr>
            <w:top w:val="none" w:sz="0" w:space="0" w:color="auto"/>
            <w:left w:val="none" w:sz="0" w:space="0" w:color="auto"/>
            <w:bottom w:val="none" w:sz="0" w:space="0" w:color="auto"/>
            <w:right w:val="none" w:sz="0" w:space="0" w:color="auto"/>
          </w:divBdr>
        </w:div>
        <w:div w:id="921373378">
          <w:marLeft w:val="0"/>
          <w:marRight w:val="0"/>
          <w:marTop w:val="0"/>
          <w:marBottom w:val="225"/>
          <w:divBdr>
            <w:top w:val="none" w:sz="0" w:space="0" w:color="auto"/>
            <w:left w:val="none" w:sz="0" w:space="0" w:color="auto"/>
            <w:bottom w:val="none" w:sz="0" w:space="0" w:color="auto"/>
            <w:right w:val="none" w:sz="0" w:space="0" w:color="auto"/>
          </w:divBdr>
        </w:div>
        <w:div w:id="1358505763">
          <w:marLeft w:val="0"/>
          <w:marRight w:val="0"/>
          <w:marTop w:val="0"/>
          <w:marBottom w:val="225"/>
          <w:divBdr>
            <w:top w:val="none" w:sz="0" w:space="0" w:color="auto"/>
            <w:left w:val="none" w:sz="0" w:space="0" w:color="auto"/>
            <w:bottom w:val="none" w:sz="0" w:space="0" w:color="auto"/>
            <w:right w:val="none" w:sz="0" w:space="0" w:color="auto"/>
          </w:divBdr>
        </w:div>
        <w:div w:id="19934863">
          <w:marLeft w:val="0"/>
          <w:marRight w:val="0"/>
          <w:marTop w:val="0"/>
          <w:marBottom w:val="225"/>
          <w:divBdr>
            <w:top w:val="none" w:sz="0" w:space="0" w:color="auto"/>
            <w:left w:val="none" w:sz="0" w:space="0" w:color="auto"/>
            <w:bottom w:val="none" w:sz="0" w:space="0" w:color="auto"/>
            <w:right w:val="none" w:sz="0" w:space="0" w:color="auto"/>
          </w:divBdr>
        </w:div>
        <w:div w:id="1070734358">
          <w:marLeft w:val="0"/>
          <w:marRight w:val="0"/>
          <w:marTop w:val="0"/>
          <w:marBottom w:val="225"/>
          <w:divBdr>
            <w:top w:val="none" w:sz="0" w:space="0" w:color="auto"/>
            <w:left w:val="none" w:sz="0" w:space="0" w:color="auto"/>
            <w:bottom w:val="none" w:sz="0" w:space="0" w:color="auto"/>
            <w:right w:val="none" w:sz="0" w:space="0" w:color="auto"/>
          </w:divBdr>
        </w:div>
        <w:div w:id="239408499">
          <w:marLeft w:val="0"/>
          <w:marRight w:val="0"/>
          <w:marTop w:val="0"/>
          <w:marBottom w:val="225"/>
          <w:divBdr>
            <w:top w:val="none" w:sz="0" w:space="0" w:color="auto"/>
            <w:left w:val="none" w:sz="0" w:space="0" w:color="auto"/>
            <w:bottom w:val="none" w:sz="0" w:space="0" w:color="auto"/>
            <w:right w:val="none" w:sz="0" w:space="0" w:color="auto"/>
          </w:divBdr>
        </w:div>
        <w:div w:id="1884436107">
          <w:marLeft w:val="0"/>
          <w:marRight w:val="0"/>
          <w:marTop w:val="0"/>
          <w:marBottom w:val="225"/>
          <w:divBdr>
            <w:top w:val="none" w:sz="0" w:space="0" w:color="auto"/>
            <w:left w:val="none" w:sz="0" w:space="0" w:color="auto"/>
            <w:bottom w:val="none" w:sz="0" w:space="0" w:color="auto"/>
            <w:right w:val="none" w:sz="0" w:space="0" w:color="auto"/>
          </w:divBdr>
        </w:div>
        <w:div w:id="120806959">
          <w:marLeft w:val="0"/>
          <w:marRight w:val="0"/>
          <w:marTop w:val="0"/>
          <w:marBottom w:val="225"/>
          <w:divBdr>
            <w:top w:val="none" w:sz="0" w:space="0" w:color="auto"/>
            <w:left w:val="none" w:sz="0" w:space="0" w:color="auto"/>
            <w:bottom w:val="none" w:sz="0" w:space="0" w:color="auto"/>
            <w:right w:val="none" w:sz="0" w:space="0" w:color="auto"/>
          </w:divBdr>
        </w:div>
        <w:div w:id="1581602674">
          <w:marLeft w:val="0"/>
          <w:marRight w:val="0"/>
          <w:marTop w:val="0"/>
          <w:marBottom w:val="225"/>
          <w:divBdr>
            <w:top w:val="none" w:sz="0" w:space="0" w:color="auto"/>
            <w:left w:val="none" w:sz="0" w:space="0" w:color="auto"/>
            <w:bottom w:val="none" w:sz="0" w:space="0" w:color="auto"/>
            <w:right w:val="none" w:sz="0" w:space="0" w:color="auto"/>
          </w:divBdr>
        </w:div>
        <w:div w:id="1436897435">
          <w:marLeft w:val="0"/>
          <w:marRight w:val="0"/>
          <w:marTop w:val="0"/>
          <w:marBottom w:val="225"/>
          <w:divBdr>
            <w:top w:val="none" w:sz="0" w:space="0" w:color="auto"/>
            <w:left w:val="none" w:sz="0" w:space="0" w:color="auto"/>
            <w:bottom w:val="none" w:sz="0" w:space="0" w:color="auto"/>
            <w:right w:val="none" w:sz="0" w:space="0" w:color="auto"/>
          </w:divBdr>
        </w:div>
        <w:div w:id="1682244289">
          <w:marLeft w:val="0"/>
          <w:marRight w:val="0"/>
          <w:marTop w:val="0"/>
          <w:marBottom w:val="225"/>
          <w:divBdr>
            <w:top w:val="none" w:sz="0" w:space="0" w:color="auto"/>
            <w:left w:val="none" w:sz="0" w:space="0" w:color="auto"/>
            <w:bottom w:val="none" w:sz="0" w:space="0" w:color="auto"/>
            <w:right w:val="none" w:sz="0" w:space="0" w:color="auto"/>
          </w:divBdr>
        </w:div>
        <w:div w:id="892086737">
          <w:marLeft w:val="0"/>
          <w:marRight w:val="0"/>
          <w:marTop w:val="0"/>
          <w:marBottom w:val="225"/>
          <w:divBdr>
            <w:top w:val="none" w:sz="0" w:space="0" w:color="auto"/>
            <w:left w:val="none" w:sz="0" w:space="0" w:color="auto"/>
            <w:bottom w:val="none" w:sz="0" w:space="0" w:color="auto"/>
            <w:right w:val="none" w:sz="0" w:space="0" w:color="auto"/>
          </w:divBdr>
        </w:div>
        <w:div w:id="1374573109">
          <w:marLeft w:val="0"/>
          <w:marRight w:val="0"/>
          <w:marTop w:val="0"/>
          <w:marBottom w:val="225"/>
          <w:divBdr>
            <w:top w:val="none" w:sz="0" w:space="0" w:color="auto"/>
            <w:left w:val="none" w:sz="0" w:space="0" w:color="auto"/>
            <w:bottom w:val="none" w:sz="0" w:space="0" w:color="auto"/>
            <w:right w:val="none" w:sz="0" w:space="0" w:color="auto"/>
          </w:divBdr>
        </w:div>
        <w:div w:id="1624145142">
          <w:marLeft w:val="0"/>
          <w:marRight w:val="0"/>
          <w:marTop w:val="0"/>
          <w:marBottom w:val="225"/>
          <w:divBdr>
            <w:top w:val="none" w:sz="0" w:space="0" w:color="auto"/>
            <w:left w:val="none" w:sz="0" w:space="0" w:color="auto"/>
            <w:bottom w:val="none" w:sz="0" w:space="0" w:color="auto"/>
            <w:right w:val="none" w:sz="0" w:space="0" w:color="auto"/>
          </w:divBdr>
        </w:div>
        <w:div w:id="514541152">
          <w:marLeft w:val="0"/>
          <w:marRight w:val="0"/>
          <w:marTop w:val="0"/>
          <w:marBottom w:val="225"/>
          <w:divBdr>
            <w:top w:val="none" w:sz="0" w:space="0" w:color="auto"/>
            <w:left w:val="none" w:sz="0" w:space="0" w:color="auto"/>
            <w:bottom w:val="none" w:sz="0" w:space="0" w:color="auto"/>
            <w:right w:val="none" w:sz="0" w:space="0" w:color="auto"/>
          </w:divBdr>
        </w:div>
        <w:div w:id="1891452088">
          <w:marLeft w:val="0"/>
          <w:marRight w:val="0"/>
          <w:marTop w:val="0"/>
          <w:marBottom w:val="225"/>
          <w:divBdr>
            <w:top w:val="none" w:sz="0" w:space="0" w:color="auto"/>
            <w:left w:val="none" w:sz="0" w:space="0" w:color="auto"/>
            <w:bottom w:val="none" w:sz="0" w:space="0" w:color="auto"/>
            <w:right w:val="none" w:sz="0" w:space="0" w:color="auto"/>
          </w:divBdr>
        </w:div>
        <w:div w:id="1678773631">
          <w:marLeft w:val="0"/>
          <w:marRight w:val="0"/>
          <w:marTop w:val="0"/>
          <w:marBottom w:val="225"/>
          <w:divBdr>
            <w:top w:val="none" w:sz="0" w:space="0" w:color="auto"/>
            <w:left w:val="none" w:sz="0" w:space="0" w:color="auto"/>
            <w:bottom w:val="none" w:sz="0" w:space="0" w:color="auto"/>
            <w:right w:val="none" w:sz="0" w:space="0" w:color="auto"/>
          </w:divBdr>
        </w:div>
        <w:div w:id="1152482866">
          <w:marLeft w:val="0"/>
          <w:marRight w:val="0"/>
          <w:marTop w:val="0"/>
          <w:marBottom w:val="225"/>
          <w:divBdr>
            <w:top w:val="none" w:sz="0" w:space="0" w:color="auto"/>
            <w:left w:val="none" w:sz="0" w:space="0" w:color="auto"/>
            <w:bottom w:val="none" w:sz="0" w:space="0" w:color="auto"/>
            <w:right w:val="none" w:sz="0" w:space="0" w:color="auto"/>
          </w:divBdr>
        </w:div>
        <w:div w:id="2007392706">
          <w:marLeft w:val="0"/>
          <w:marRight w:val="0"/>
          <w:marTop w:val="0"/>
          <w:marBottom w:val="225"/>
          <w:divBdr>
            <w:top w:val="none" w:sz="0" w:space="0" w:color="auto"/>
            <w:left w:val="none" w:sz="0" w:space="0" w:color="auto"/>
            <w:bottom w:val="none" w:sz="0" w:space="0" w:color="auto"/>
            <w:right w:val="none" w:sz="0" w:space="0" w:color="auto"/>
          </w:divBdr>
        </w:div>
        <w:div w:id="1986473297">
          <w:marLeft w:val="0"/>
          <w:marRight w:val="0"/>
          <w:marTop w:val="0"/>
          <w:marBottom w:val="225"/>
          <w:divBdr>
            <w:top w:val="none" w:sz="0" w:space="0" w:color="auto"/>
            <w:left w:val="none" w:sz="0" w:space="0" w:color="auto"/>
            <w:bottom w:val="none" w:sz="0" w:space="0" w:color="auto"/>
            <w:right w:val="none" w:sz="0" w:space="0" w:color="auto"/>
          </w:divBdr>
        </w:div>
        <w:div w:id="548034458">
          <w:marLeft w:val="0"/>
          <w:marRight w:val="0"/>
          <w:marTop w:val="0"/>
          <w:marBottom w:val="225"/>
          <w:divBdr>
            <w:top w:val="none" w:sz="0" w:space="0" w:color="auto"/>
            <w:left w:val="none" w:sz="0" w:space="0" w:color="auto"/>
            <w:bottom w:val="none" w:sz="0" w:space="0" w:color="auto"/>
            <w:right w:val="none" w:sz="0" w:space="0" w:color="auto"/>
          </w:divBdr>
        </w:div>
        <w:div w:id="1245608171">
          <w:marLeft w:val="0"/>
          <w:marRight w:val="0"/>
          <w:marTop w:val="0"/>
          <w:marBottom w:val="225"/>
          <w:divBdr>
            <w:top w:val="none" w:sz="0" w:space="0" w:color="auto"/>
            <w:left w:val="none" w:sz="0" w:space="0" w:color="auto"/>
            <w:bottom w:val="none" w:sz="0" w:space="0" w:color="auto"/>
            <w:right w:val="none" w:sz="0" w:space="0" w:color="auto"/>
          </w:divBdr>
        </w:div>
        <w:div w:id="220479232">
          <w:marLeft w:val="0"/>
          <w:marRight w:val="0"/>
          <w:marTop w:val="0"/>
          <w:marBottom w:val="225"/>
          <w:divBdr>
            <w:top w:val="none" w:sz="0" w:space="0" w:color="auto"/>
            <w:left w:val="none" w:sz="0" w:space="0" w:color="auto"/>
            <w:bottom w:val="none" w:sz="0" w:space="0" w:color="auto"/>
            <w:right w:val="none" w:sz="0" w:space="0" w:color="auto"/>
          </w:divBdr>
        </w:div>
        <w:div w:id="1923371123">
          <w:marLeft w:val="0"/>
          <w:marRight w:val="0"/>
          <w:marTop w:val="0"/>
          <w:marBottom w:val="225"/>
          <w:divBdr>
            <w:top w:val="none" w:sz="0" w:space="0" w:color="auto"/>
            <w:left w:val="none" w:sz="0" w:space="0" w:color="auto"/>
            <w:bottom w:val="none" w:sz="0" w:space="0" w:color="auto"/>
            <w:right w:val="none" w:sz="0" w:space="0" w:color="auto"/>
          </w:divBdr>
        </w:div>
        <w:div w:id="1634217090">
          <w:marLeft w:val="0"/>
          <w:marRight w:val="0"/>
          <w:marTop w:val="0"/>
          <w:marBottom w:val="225"/>
          <w:divBdr>
            <w:top w:val="none" w:sz="0" w:space="0" w:color="auto"/>
            <w:left w:val="none" w:sz="0" w:space="0" w:color="auto"/>
            <w:bottom w:val="none" w:sz="0" w:space="0" w:color="auto"/>
            <w:right w:val="none" w:sz="0" w:space="0" w:color="auto"/>
          </w:divBdr>
        </w:div>
        <w:div w:id="451098647">
          <w:marLeft w:val="0"/>
          <w:marRight w:val="0"/>
          <w:marTop w:val="0"/>
          <w:marBottom w:val="225"/>
          <w:divBdr>
            <w:top w:val="none" w:sz="0" w:space="0" w:color="auto"/>
            <w:left w:val="none" w:sz="0" w:space="0" w:color="auto"/>
            <w:bottom w:val="none" w:sz="0" w:space="0" w:color="auto"/>
            <w:right w:val="none" w:sz="0" w:space="0" w:color="auto"/>
          </w:divBdr>
        </w:div>
        <w:div w:id="1883857828">
          <w:marLeft w:val="0"/>
          <w:marRight w:val="0"/>
          <w:marTop w:val="0"/>
          <w:marBottom w:val="225"/>
          <w:divBdr>
            <w:top w:val="none" w:sz="0" w:space="0" w:color="auto"/>
            <w:left w:val="none" w:sz="0" w:space="0" w:color="auto"/>
            <w:bottom w:val="none" w:sz="0" w:space="0" w:color="auto"/>
            <w:right w:val="none" w:sz="0" w:space="0" w:color="auto"/>
          </w:divBdr>
        </w:div>
        <w:div w:id="736246902">
          <w:marLeft w:val="0"/>
          <w:marRight w:val="0"/>
          <w:marTop w:val="0"/>
          <w:marBottom w:val="225"/>
          <w:divBdr>
            <w:top w:val="none" w:sz="0" w:space="0" w:color="auto"/>
            <w:left w:val="none" w:sz="0" w:space="0" w:color="auto"/>
            <w:bottom w:val="none" w:sz="0" w:space="0" w:color="auto"/>
            <w:right w:val="none" w:sz="0" w:space="0" w:color="auto"/>
          </w:divBdr>
        </w:div>
        <w:div w:id="149447183">
          <w:marLeft w:val="0"/>
          <w:marRight w:val="0"/>
          <w:marTop w:val="0"/>
          <w:marBottom w:val="225"/>
          <w:divBdr>
            <w:top w:val="none" w:sz="0" w:space="0" w:color="auto"/>
            <w:left w:val="none" w:sz="0" w:space="0" w:color="auto"/>
            <w:bottom w:val="none" w:sz="0" w:space="0" w:color="auto"/>
            <w:right w:val="none" w:sz="0" w:space="0" w:color="auto"/>
          </w:divBdr>
        </w:div>
        <w:div w:id="97146336">
          <w:marLeft w:val="0"/>
          <w:marRight w:val="0"/>
          <w:marTop w:val="0"/>
          <w:marBottom w:val="225"/>
          <w:divBdr>
            <w:top w:val="none" w:sz="0" w:space="0" w:color="auto"/>
            <w:left w:val="none" w:sz="0" w:space="0" w:color="auto"/>
            <w:bottom w:val="none" w:sz="0" w:space="0" w:color="auto"/>
            <w:right w:val="none" w:sz="0" w:space="0" w:color="auto"/>
          </w:divBdr>
        </w:div>
      </w:divsChild>
    </w:div>
    <w:div w:id="719481023">
      <w:bodyDiv w:val="1"/>
      <w:marLeft w:val="0"/>
      <w:marRight w:val="0"/>
      <w:marTop w:val="0"/>
      <w:marBottom w:val="0"/>
      <w:divBdr>
        <w:top w:val="none" w:sz="0" w:space="0" w:color="auto"/>
        <w:left w:val="none" w:sz="0" w:space="0" w:color="auto"/>
        <w:bottom w:val="none" w:sz="0" w:space="0" w:color="auto"/>
        <w:right w:val="none" w:sz="0" w:space="0" w:color="auto"/>
      </w:divBdr>
      <w:divsChild>
        <w:div w:id="2097313730">
          <w:marLeft w:val="0"/>
          <w:marRight w:val="0"/>
          <w:marTop w:val="0"/>
          <w:marBottom w:val="225"/>
          <w:divBdr>
            <w:top w:val="none" w:sz="0" w:space="0" w:color="auto"/>
            <w:left w:val="none" w:sz="0" w:space="0" w:color="auto"/>
            <w:bottom w:val="none" w:sz="0" w:space="0" w:color="auto"/>
            <w:right w:val="none" w:sz="0" w:space="0" w:color="auto"/>
          </w:divBdr>
        </w:div>
        <w:div w:id="1866211717">
          <w:marLeft w:val="0"/>
          <w:marRight w:val="0"/>
          <w:marTop w:val="0"/>
          <w:marBottom w:val="225"/>
          <w:divBdr>
            <w:top w:val="none" w:sz="0" w:space="0" w:color="auto"/>
            <w:left w:val="none" w:sz="0" w:space="0" w:color="auto"/>
            <w:bottom w:val="none" w:sz="0" w:space="0" w:color="auto"/>
            <w:right w:val="none" w:sz="0" w:space="0" w:color="auto"/>
          </w:divBdr>
        </w:div>
        <w:div w:id="2038311937">
          <w:marLeft w:val="0"/>
          <w:marRight w:val="0"/>
          <w:marTop w:val="0"/>
          <w:marBottom w:val="225"/>
          <w:divBdr>
            <w:top w:val="none" w:sz="0" w:space="0" w:color="auto"/>
            <w:left w:val="none" w:sz="0" w:space="0" w:color="auto"/>
            <w:bottom w:val="none" w:sz="0" w:space="0" w:color="auto"/>
            <w:right w:val="none" w:sz="0" w:space="0" w:color="auto"/>
          </w:divBdr>
        </w:div>
        <w:div w:id="950471699">
          <w:marLeft w:val="0"/>
          <w:marRight w:val="0"/>
          <w:marTop w:val="0"/>
          <w:marBottom w:val="225"/>
          <w:divBdr>
            <w:top w:val="none" w:sz="0" w:space="0" w:color="auto"/>
            <w:left w:val="none" w:sz="0" w:space="0" w:color="auto"/>
            <w:bottom w:val="none" w:sz="0" w:space="0" w:color="auto"/>
            <w:right w:val="none" w:sz="0" w:space="0" w:color="auto"/>
          </w:divBdr>
        </w:div>
        <w:div w:id="875041321">
          <w:marLeft w:val="0"/>
          <w:marRight w:val="0"/>
          <w:marTop w:val="0"/>
          <w:marBottom w:val="225"/>
          <w:divBdr>
            <w:top w:val="none" w:sz="0" w:space="0" w:color="auto"/>
            <w:left w:val="none" w:sz="0" w:space="0" w:color="auto"/>
            <w:bottom w:val="none" w:sz="0" w:space="0" w:color="auto"/>
            <w:right w:val="none" w:sz="0" w:space="0" w:color="auto"/>
          </w:divBdr>
        </w:div>
        <w:div w:id="1317606690">
          <w:marLeft w:val="0"/>
          <w:marRight w:val="0"/>
          <w:marTop w:val="0"/>
          <w:marBottom w:val="225"/>
          <w:divBdr>
            <w:top w:val="none" w:sz="0" w:space="0" w:color="auto"/>
            <w:left w:val="none" w:sz="0" w:space="0" w:color="auto"/>
            <w:bottom w:val="none" w:sz="0" w:space="0" w:color="auto"/>
            <w:right w:val="none" w:sz="0" w:space="0" w:color="auto"/>
          </w:divBdr>
        </w:div>
        <w:div w:id="962007282">
          <w:marLeft w:val="0"/>
          <w:marRight w:val="0"/>
          <w:marTop w:val="0"/>
          <w:marBottom w:val="225"/>
          <w:divBdr>
            <w:top w:val="none" w:sz="0" w:space="0" w:color="auto"/>
            <w:left w:val="none" w:sz="0" w:space="0" w:color="auto"/>
            <w:bottom w:val="none" w:sz="0" w:space="0" w:color="auto"/>
            <w:right w:val="none" w:sz="0" w:space="0" w:color="auto"/>
          </w:divBdr>
        </w:div>
        <w:div w:id="511802346">
          <w:marLeft w:val="0"/>
          <w:marRight w:val="0"/>
          <w:marTop w:val="0"/>
          <w:marBottom w:val="225"/>
          <w:divBdr>
            <w:top w:val="none" w:sz="0" w:space="0" w:color="auto"/>
            <w:left w:val="none" w:sz="0" w:space="0" w:color="auto"/>
            <w:bottom w:val="none" w:sz="0" w:space="0" w:color="auto"/>
            <w:right w:val="none" w:sz="0" w:space="0" w:color="auto"/>
          </w:divBdr>
        </w:div>
        <w:div w:id="2008701609">
          <w:marLeft w:val="0"/>
          <w:marRight w:val="0"/>
          <w:marTop w:val="0"/>
          <w:marBottom w:val="225"/>
          <w:divBdr>
            <w:top w:val="none" w:sz="0" w:space="0" w:color="auto"/>
            <w:left w:val="none" w:sz="0" w:space="0" w:color="auto"/>
            <w:bottom w:val="none" w:sz="0" w:space="0" w:color="auto"/>
            <w:right w:val="none" w:sz="0" w:space="0" w:color="auto"/>
          </w:divBdr>
        </w:div>
        <w:div w:id="619655355">
          <w:marLeft w:val="0"/>
          <w:marRight w:val="0"/>
          <w:marTop w:val="0"/>
          <w:marBottom w:val="225"/>
          <w:divBdr>
            <w:top w:val="none" w:sz="0" w:space="0" w:color="auto"/>
            <w:left w:val="none" w:sz="0" w:space="0" w:color="auto"/>
            <w:bottom w:val="none" w:sz="0" w:space="0" w:color="auto"/>
            <w:right w:val="none" w:sz="0" w:space="0" w:color="auto"/>
          </w:divBdr>
        </w:div>
        <w:div w:id="2108187712">
          <w:marLeft w:val="0"/>
          <w:marRight w:val="0"/>
          <w:marTop w:val="0"/>
          <w:marBottom w:val="225"/>
          <w:divBdr>
            <w:top w:val="none" w:sz="0" w:space="0" w:color="auto"/>
            <w:left w:val="none" w:sz="0" w:space="0" w:color="auto"/>
            <w:bottom w:val="none" w:sz="0" w:space="0" w:color="auto"/>
            <w:right w:val="none" w:sz="0" w:space="0" w:color="auto"/>
          </w:divBdr>
        </w:div>
        <w:div w:id="450395842">
          <w:marLeft w:val="0"/>
          <w:marRight w:val="0"/>
          <w:marTop w:val="0"/>
          <w:marBottom w:val="225"/>
          <w:divBdr>
            <w:top w:val="none" w:sz="0" w:space="0" w:color="auto"/>
            <w:left w:val="none" w:sz="0" w:space="0" w:color="auto"/>
            <w:bottom w:val="none" w:sz="0" w:space="0" w:color="auto"/>
            <w:right w:val="none" w:sz="0" w:space="0" w:color="auto"/>
          </w:divBdr>
        </w:div>
        <w:div w:id="2091273323">
          <w:marLeft w:val="0"/>
          <w:marRight w:val="0"/>
          <w:marTop w:val="0"/>
          <w:marBottom w:val="225"/>
          <w:divBdr>
            <w:top w:val="none" w:sz="0" w:space="0" w:color="auto"/>
            <w:left w:val="none" w:sz="0" w:space="0" w:color="auto"/>
            <w:bottom w:val="none" w:sz="0" w:space="0" w:color="auto"/>
            <w:right w:val="none" w:sz="0" w:space="0" w:color="auto"/>
          </w:divBdr>
        </w:div>
        <w:div w:id="1430807829">
          <w:marLeft w:val="0"/>
          <w:marRight w:val="0"/>
          <w:marTop w:val="0"/>
          <w:marBottom w:val="225"/>
          <w:divBdr>
            <w:top w:val="none" w:sz="0" w:space="0" w:color="auto"/>
            <w:left w:val="none" w:sz="0" w:space="0" w:color="auto"/>
            <w:bottom w:val="none" w:sz="0" w:space="0" w:color="auto"/>
            <w:right w:val="none" w:sz="0" w:space="0" w:color="auto"/>
          </w:divBdr>
        </w:div>
        <w:div w:id="230391491">
          <w:marLeft w:val="0"/>
          <w:marRight w:val="0"/>
          <w:marTop w:val="0"/>
          <w:marBottom w:val="225"/>
          <w:divBdr>
            <w:top w:val="none" w:sz="0" w:space="0" w:color="auto"/>
            <w:left w:val="none" w:sz="0" w:space="0" w:color="auto"/>
            <w:bottom w:val="none" w:sz="0" w:space="0" w:color="auto"/>
            <w:right w:val="none" w:sz="0" w:space="0" w:color="auto"/>
          </w:divBdr>
        </w:div>
        <w:div w:id="811366938">
          <w:marLeft w:val="0"/>
          <w:marRight w:val="0"/>
          <w:marTop w:val="0"/>
          <w:marBottom w:val="225"/>
          <w:divBdr>
            <w:top w:val="none" w:sz="0" w:space="0" w:color="auto"/>
            <w:left w:val="none" w:sz="0" w:space="0" w:color="auto"/>
            <w:bottom w:val="none" w:sz="0" w:space="0" w:color="auto"/>
            <w:right w:val="none" w:sz="0" w:space="0" w:color="auto"/>
          </w:divBdr>
        </w:div>
        <w:div w:id="1863544774">
          <w:marLeft w:val="0"/>
          <w:marRight w:val="0"/>
          <w:marTop w:val="0"/>
          <w:marBottom w:val="225"/>
          <w:divBdr>
            <w:top w:val="none" w:sz="0" w:space="0" w:color="auto"/>
            <w:left w:val="none" w:sz="0" w:space="0" w:color="auto"/>
            <w:bottom w:val="none" w:sz="0" w:space="0" w:color="auto"/>
            <w:right w:val="none" w:sz="0" w:space="0" w:color="auto"/>
          </w:divBdr>
        </w:div>
        <w:div w:id="609356775">
          <w:marLeft w:val="0"/>
          <w:marRight w:val="0"/>
          <w:marTop w:val="0"/>
          <w:marBottom w:val="225"/>
          <w:divBdr>
            <w:top w:val="none" w:sz="0" w:space="0" w:color="auto"/>
            <w:left w:val="none" w:sz="0" w:space="0" w:color="auto"/>
            <w:bottom w:val="none" w:sz="0" w:space="0" w:color="auto"/>
            <w:right w:val="none" w:sz="0" w:space="0" w:color="auto"/>
          </w:divBdr>
        </w:div>
        <w:div w:id="646782711">
          <w:marLeft w:val="0"/>
          <w:marRight w:val="0"/>
          <w:marTop w:val="0"/>
          <w:marBottom w:val="225"/>
          <w:divBdr>
            <w:top w:val="none" w:sz="0" w:space="0" w:color="auto"/>
            <w:left w:val="none" w:sz="0" w:space="0" w:color="auto"/>
            <w:bottom w:val="none" w:sz="0" w:space="0" w:color="auto"/>
            <w:right w:val="none" w:sz="0" w:space="0" w:color="auto"/>
          </w:divBdr>
        </w:div>
        <w:div w:id="1918785624">
          <w:marLeft w:val="0"/>
          <w:marRight w:val="0"/>
          <w:marTop w:val="0"/>
          <w:marBottom w:val="225"/>
          <w:divBdr>
            <w:top w:val="none" w:sz="0" w:space="0" w:color="auto"/>
            <w:left w:val="none" w:sz="0" w:space="0" w:color="auto"/>
            <w:bottom w:val="none" w:sz="0" w:space="0" w:color="auto"/>
            <w:right w:val="none" w:sz="0" w:space="0" w:color="auto"/>
          </w:divBdr>
        </w:div>
        <w:div w:id="1496874741">
          <w:marLeft w:val="0"/>
          <w:marRight w:val="0"/>
          <w:marTop w:val="0"/>
          <w:marBottom w:val="225"/>
          <w:divBdr>
            <w:top w:val="none" w:sz="0" w:space="0" w:color="auto"/>
            <w:left w:val="none" w:sz="0" w:space="0" w:color="auto"/>
            <w:bottom w:val="none" w:sz="0" w:space="0" w:color="auto"/>
            <w:right w:val="none" w:sz="0" w:space="0" w:color="auto"/>
          </w:divBdr>
        </w:div>
        <w:div w:id="961157302">
          <w:marLeft w:val="0"/>
          <w:marRight w:val="0"/>
          <w:marTop w:val="0"/>
          <w:marBottom w:val="225"/>
          <w:divBdr>
            <w:top w:val="none" w:sz="0" w:space="0" w:color="auto"/>
            <w:left w:val="none" w:sz="0" w:space="0" w:color="auto"/>
            <w:bottom w:val="none" w:sz="0" w:space="0" w:color="auto"/>
            <w:right w:val="none" w:sz="0" w:space="0" w:color="auto"/>
          </w:divBdr>
        </w:div>
        <w:div w:id="7489568">
          <w:marLeft w:val="0"/>
          <w:marRight w:val="0"/>
          <w:marTop w:val="0"/>
          <w:marBottom w:val="225"/>
          <w:divBdr>
            <w:top w:val="none" w:sz="0" w:space="0" w:color="auto"/>
            <w:left w:val="none" w:sz="0" w:space="0" w:color="auto"/>
            <w:bottom w:val="none" w:sz="0" w:space="0" w:color="auto"/>
            <w:right w:val="none" w:sz="0" w:space="0" w:color="auto"/>
          </w:divBdr>
        </w:div>
        <w:div w:id="405614926">
          <w:marLeft w:val="0"/>
          <w:marRight w:val="0"/>
          <w:marTop w:val="0"/>
          <w:marBottom w:val="225"/>
          <w:divBdr>
            <w:top w:val="none" w:sz="0" w:space="0" w:color="auto"/>
            <w:left w:val="none" w:sz="0" w:space="0" w:color="auto"/>
            <w:bottom w:val="none" w:sz="0" w:space="0" w:color="auto"/>
            <w:right w:val="none" w:sz="0" w:space="0" w:color="auto"/>
          </w:divBdr>
        </w:div>
        <w:div w:id="554898468">
          <w:marLeft w:val="0"/>
          <w:marRight w:val="0"/>
          <w:marTop w:val="0"/>
          <w:marBottom w:val="225"/>
          <w:divBdr>
            <w:top w:val="none" w:sz="0" w:space="0" w:color="auto"/>
            <w:left w:val="none" w:sz="0" w:space="0" w:color="auto"/>
            <w:bottom w:val="none" w:sz="0" w:space="0" w:color="auto"/>
            <w:right w:val="none" w:sz="0" w:space="0" w:color="auto"/>
          </w:divBdr>
        </w:div>
        <w:div w:id="606426073">
          <w:marLeft w:val="0"/>
          <w:marRight w:val="0"/>
          <w:marTop w:val="0"/>
          <w:marBottom w:val="225"/>
          <w:divBdr>
            <w:top w:val="none" w:sz="0" w:space="0" w:color="auto"/>
            <w:left w:val="none" w:sz="0" w:space="0" w:color="auto"/>
            <w:bottom w:val="none" w:sz="0" w:space="0" w:color="auto"/>
            <w:right w:val="none" w:sz="0" w:space="0" w:color="auto"/>
          </w:divBdr>
        </w:div>
        <w:div w:id="1460538250">
          <w:marLeft w:val="0"/>
          <w:marRight w:val="0"/>
          <w:marTop w:val="0"/>
          <w:marBottom w:val="225"/>
          <w:divBdr>
            <w:top w:val="none" w:sz="0" w:space="0" w:color="auto"/>
            <w:left w:val="none" w:sz="0" w:space="0" w:color="auto"/>
            <w:bottom w:val="none" w:sz="0" w:space="0" w:color="auto"/>
            <w:right w:val="none" w:sz="0" w:space="0" w:color="auto"/>
          </w:divBdr>
        </w:div>
        <w:div w:id="905147902">
          <w:marLeft w:val="0"/>
          <w:marRight w:val="0"/>
          <w:marTop w:val="0"/>
          <w:marBottom w:val="225"/>
          <w:divBdr>
            <w:top w:val="none" w:sz="0" w:space="0" w:color="auto"/>
            <w:left w:val="none" w:sz="0" w:space="0" w:color="auto"/>
            <w:bottom w:val="none" w:sz="0" w:space="0" w:color="auto"/>
            <w:right w:val="none" w:sz="0" w:space="0" w:color="auto"/>
          </w:divBdr>
        </w:div>
        <w:div w:id="1010373976">
          <w:marLeft w:val="0"/>
          <w:marRight w:val="0"/>
          <w:marTop w:val="0"/>
          <w:marBottom w:val="225"/>
          <w:divBdr>
            <w:top w:val="none" w:sz="0" w:space="0" w:color="auto"/>
            <w:left w:val="none" w:sz="0" w:space="0" w:color="auto"/>
            <w:bottom w:val="none" w:sz="0" w:space="0" w:color="auto"/>
            <w:right w:val="none" w:sz="0" w:space="0" w:color="auto"/>
          </w:divBdr>
        </w:div>
        <w:div w:id="1787232966">
          <w:marLeft w:val="0"/>
          <w:marRight w:val="0"/>
          <w:marTop w:val="0"/>
          <w:marBottom w:val="225"/>
          <w:divBdr>
            <w:top w:val="none" w:sz="0" w:space="0" w:color="auto"/>
            <w:left w:val="none" w:sz="0" w:space="0" w:color="auto"/>
            <w:bottom w:val="none" w:sz="0" w:space="0" w:color="auto"/>
            <w:right w:val="none" w:sz="0" w:space="0" w:color="auto"/>
          </w:divBdr>
        </w:div>
        <w:div w:id="2098167682">
          <w:marLeft w:val="0"/>
          <w:marRight w:val="0"/>
          <w:marTop w:val="0"/>
          <w:marBottom w:val="225"/>
          <w:divBdr>
            <w:top w:val="none" w:sz="0" w:space="0" w:color="auto"/>
            <w:left w:val="none" w:sz="0" w:space="0" w:color="auto"/>
            <w:bottom w:val="none" w:sz="0" w:space="0" w:color="auto"/>
            <w:right w:val="none" w:sz="0" w:space="0" w:color="auto"/>
          </w:divBdr>
        </w:div>
        <w:div w:id="1242371206">
          <w:marLeft w:val="0"/>
          <w:marRight w:val="0"/>
          <w:marTop w:val="0"/>
          <w:marBottom w:val="225"/>
          <w:divBdr>
            <w:top w:val="none" w:sz="0" w:space="0" w:color="auto"/>
            <w:left w:val="none" w:sz="0" w:space="0" w:color="auto"/>
            <w:bottom w:val="none" w:sz="0" w:space="0" w:color="auto"/>
            <w:right w:val="none" w:sz="0" w:space="0" w:color="auto"/>
          </w:divBdr>
        </w:div>
        <w:div w:id="1642887402">
          <w:marLeft w:val="0"/>
          <w:marRight w:val="0"/>
          <w:marTop w:val="0"/>
          <w:marBottom w:val="225"/>
          <w:divBdr>
            <w:top w:val="none" w:sz="0" w:space="0" w:color="auto"/>
            <w:left w:val="none" w:sz="0" w:space="0" w:color="auto"/>
            <w:bottom w:val="none" w:sz="0" w:space="0" w:color="auto"/>
            <w:right w:val="none" w:sz="0" w:space="0" w:color="auto"/>
          </w:divBdr>
        </w:div>
        <w:div w:id="1483110312">
          <w:marLeft w:val="0"/>
          <w:marRight w:val="0"/>
          <w:marTop w:val="0"/>
          <w:marBottom w:val="225"/>
          <w:divBdr>
            <w:top w:val="none" w:sz="0" w:space="0" w:color="auto"/>
            <w:left w:val="none" w:sz="0" w:space="0" w:color="auto"/>
            <w:bottom w:val="none" w:sz="0" w:space="0" w:color="auto"/>
            <w:right w:val="none" w:sz="0" w:space="0" w:color="auto"/>
          </w:divBdr>
        </w:div>
        <w:div w:id="45759405">
          <w:marLeft w:val="0"/>
          <w:marRight w:val="0"/>
          <w:marTop w:val="0"/>
          <w:marBottom w:val="225"/>
          <w:divBdr>
            <w:top w:val="none" w:sz="0" w:space="0" w:color="auto"/>
            <w:left w:val="none" w:sz="0" w:space="0" w:color="auto"/>
            <w:bottom w:val="none" w:sz="0" w:space="0" w:color="auto"/>
            <w:right w:val="none" w:sz="0" w:space="0" w:color="auto"/>
          </w:divBdr>
        </w:div>
        <w:div w:id="1986154130">
          <w:marLeft w:val="0"/>
          <w:marRight w:val="0"/>
          <w:marTop w:val="0"/>
          <w:marBottom w:val="225"/>
          <w:divBdr>
            <w:top w:val="none" w:sz="0" w:space="0" w:color="auto"/>
            <w:left w:val="none" w:sz="0" w:space="0" w:color="auto"/>
            <w:bottom w:val="none" w:sz="0" w:space="0" w:color="auto"/>
            <w:right w:val="none" w:sz="0" w:space="0" w:color="auto"/>
          </w:divBdr>
        </w:div>
        <w:div w:id="1347056906">
          <w:marLeft w:val="0"/>
          <w:marRight w:val="0"/>
          <w:marTop w:val="0"/>
          <w:marBottom w:val="225"/>
          <w:divBdr>
            <w:top w:val="none" w:sz="0" w:space="0" w:color="auto"/>
            <w:left w:val="none" w:sz="0" w:space="0" w:color="auto"/>
            <w:bottom w:val="none" w:sz="0" w:space="0" w:color="auto"/>
            <w:right w:val="none" w:sz="0" w:space="0" w:color="auto"/>
          </w:divBdr>
        </w:div>
        <w:div w:id="462775882">
          <w:marLeft w:val="0"/>
          <w:marRight w:val="0"/>
          <w:marTop w:val="0"/>
          <w:marBottom w:val="225"/>
          <w:divBdr>
            <w:top w:val="none" w:sz="0" w:space="0" w:color="auto"/>
            <w:left w:val="none" w:sz="0" w:space="0" w:color="auto"/>
            <w:bottom w:val="none" w:sz="0" w:space="0" w:color="auto"/>
            <w:right w:val="none" w:sz="0" w:space="0" w:color="auto"/>
          </w:divBdr>
        </w:div>
        <w:div w:id="1352150883">
          <w:marLeft w:val="0"/>
          <w:marRight w:val="0"/>
          <w:marTop w:val="0"/>
          <w:marBottom w:val="225"/>
          <w:divBdr>
            <w:top w:val="none" w:sz="0" w:space="0" w:color="auto"/>
            <w:left w:val="none" w:sz="0" w:space="0" w:color="auto"/>
            <w:bottom w:val="none" w:sz="0" w:space="0" w:color="auto"/>
            <w:right w:val="none" w:sz="0" w:space="0" w:color="auto"/>
          </w:divBdr>
        </w:div>
        <w:div w:id="304244190">
          <w:marLeft w:val="0"/>
          <w:marRight w:val="0"/>
          <w:marTop w:val="0"/>
          <w:marBottom w:val="225"/>
          <w:divBdr>
            <w:top w:val="none" w:sz="0" w:space="0" w:color="auto"/>
            <w:left w:val="none" w:sz="0" w:space="0" w:color="auto"/>
            <w:bottom w:val="none" w:sz="0" w:space="0" w:color="auto"/>
            <w:right w:val="none" w:sz="0" w:space="0" w:color="auto"/>
          </w:divBdr>
        </w:div>
        <w:div w:id="711461542">
          <w:marLeft w:val="0"/>
          <w:marRight w:val="0"/>
          <w:marTop w:val="0"/>
          <w:marBottom w:val="225"/>
          <w:divBdr>
            <w:top w:val="none" w:sz="0" w:space="0" w:color="auto"/>
            <w:left w:val="none" w:sz="0" w:space="0" w:color="auto"/>
            <w:bottom w:val="none" w:sz="0" w:space="0" w:color="auto"/>
            <w:right w:val="none" w:sz="0" w:space="0" w:color="auto"/>
          </w:divBdr>
        </w:div>
        <w:div w:id="2087260490">
          <w:marLeft w:val="0"/>
          <w:marRight w:val="0"/>
          <w:marTop w:val="0"/>
          <w:marBottom w:val="225"/>
          <w:divBdr>
            <w:top w:val="none" w:sz="0" w:space="0" w:color="auto"/>
            <w:left w:val="none" w:sz="0" w:space="0" w:color="auto"/>
            <w:bottom w:val="none" w:sz="0" w:space="0" w:color="auto"/>
            <w:right w:val="none" w:sz="0" w:space="0" w:color="auto"/>
          </w:divBdr>
        </w:div>
        <w:div w:id="1405109760">
          <w:marLeft w:val="0"/>
          <w:marRight w:val="0"/>
          <w:marTop w:val="0"/>
          <w:marBottom w:val="225"/>
          <w:divBdr>
            <w:top w:val="none" w:sz="0" w:space="0" w:color="auto"/>
            <w:left w:val="none" w:sz="0" w:space="0" w:color="auto"/>
            <w:bottom w:val="none" w:sz="0" w:space="0" w:color="auto"/>
            <w:right w:val="none" w:sz="0" w:space="0" w:color="auto"/>
          </w:divBdr>
        </w:div>
        <w:div w:id="209152866">
          <w:marLeft w:val="0"/>
          <w:marRight w:val="0"/>
          <w:marTop w:val="0"/>
          <w:marBottom w:val="225"/>
          <w:divBdr>
            <w:top w:val="none" w:sz="0" w:space="0" w:color="auto"/>
            <w:left w:val="none" w:sz="0" w:space="0" w:color="auto"/>
            <w:bottom w:val="none" w:sz="0" w:space="0" w:color="auto"/>
            <w:right w:val="none" w:sz="0" w:space="0" w:color="auto"/>
          </w:divBdr>
        </w:div>
        <w:div w:id="823398090">
          <w:marLeft w:val="0"/>
          <w:marRight w:val="0"/>
          <w:marTop w:val="0"/>
          <w:marBottom w:val="225"/>
          <w:divBdr>
            <w:top w:val="none" w:sz="0" w:space="0" w:color="auto"/>
            <w:left w:val="none" w:sz="0" w:space="0" w:color="auto"/>
            <w:bottom w:val="none" w:sz="0" w:space="0" w:color="auto"/>
            <w:right w:val="none" w:sz="0" w:space="0" w:color="auto"/>
          </w:divBdr>
        </w:div>
        <w:div w:id="1967733714">
          <w:marLeft w:val="0"/>
          <w:marRight w:val="0"/>
          <w:marTop w:val="0"/>
          <w:marBottom w:val="225"/>
          <w:divBdr>
            <w:top w:val="none" w:sz="0" w:space="0" w:color="auto"/>
            <w:left w:val="none" w:sz="0" w:space="0" w:color="auto"/>
            <w:bottom w:val="none" w:sz="0" w:space="0" w:color="auto"/>
            <w:right w:val="none" w:sz="0" w:space="0" w:color="auto"/>
          </w:divBdr>
        </w:div>
        <w:div w:id="235289498">
          <w:marLeft w:val="0"/>
          <w:marRight w:val="0"/>
          <w:marTop w:val="0"/>
          <w:marBottom w:val="225"/>
          <w:divBdr>
            <w:top w:val="none" w:sz="0" w:space="0" w:color="auto"/>
            <w:left w:val="none" w:sz="0" w:space="0" w:color="auto"/>
            <w:bottom w:val="none" w:sz="0" w:space="0" w:color="auto"/>
            <w:right w:val="none" w:sz="0" w:space="0" w:color="auto"/>
          </w:divBdr>
        </w:div>
        <w:div w:id="197277863">
          <w:marLeft w:val="0"/>
          <w:marRight w:val="0"/>
          <w:marTop w:val="0"/>
          <w:marBottom w:val="225"/>
          <w:divBdr>
            <w:top w:val="none" w:sz="0" w:space="0" w:color="auto"/>
            <w:left w:val="none" w:sz="0" w:space="0" w:color="auto"/>
            <w:bottom w:val="none" w:sz="0" w:space="0" w:color="auto"/>
            <w:right w:val="none" w:sz="0" w:space="0" w:color="auto"/>
          </w:divBdr>
        </w:div>
        <w:div w:id="1713534545">
          <w:marLeft w:val="0"/>
          <w:marRight w:val="0"/>
          <w:marTop w:val="0"/>
          <w:marBottom w:val="225"/>
          <w:divBdr>
            <w:top w:val="none" w:sz="0" w:space="0" w:color="auto"/>
            <w:left w:val="none" w:sz="0" w:space="0" w:color="auto"/>
            <w:bottom w:val="none" w:sz="0" w:space="0" w:color="auto"/>
            <w:right w:val="none" w:sz="0" w:space="0" w:color="auto"/>
          </w:divBdr>
        </w:div>
        <w:div w:id="1039356115">
          <w:marLeft w:val="0"/>
          <w:marRight w:val="0"/>
          <w:marTop w:val="0"/>
          <w:marBottom w:val="225"/>
          <w:divBdr>
            <w:top w:val="none" w:sz="0" w:space="0" w:color="auto"/>
            <w:left w:val="none" w:sz="0" w:space="0" w:color="auto"/>
            <w:bottom w:val="none" w:sz="0" w:space="0" w:color="auto"/>
            <w:right w:val="none" w:sz="0" w:space="0" w:color="auto"/>
          </w:divBdr>
        </w:div>
        <w:div w:id="1402092592">
          <w:marLeft w:val="0"/>
          <w:marRight w:val="0"/>
          <w:marTop w:val="0"/>
          <w:marBottom w:val="225"/>
          <w:divBdr>
            <w:top w:val="none" w:sz="0" w:space="0" w:color="auto"/>
            <w:left w:val="none" w:sz="0" w:space="0" w:color="auto"/>
            <w:bottom w:val="none" w:sz="0" w:space="0" w:color="auto"/>
            <w:right w:val="none" w:sz="0" w:space="0" w:color="auto"/>
          </w:divBdr>
        </w:div>
        <w:div w:id="407309812">
          <w:marLeft w:val="0"/>
          <w:marRight w:val="0"/>
          <w:marTop w:val="0"/>
          <w:marBottom w:val="225"/>
          <w:divBdr>
            <w:top w:val="none" w:sz="0" w:space="0" w:color="auto"/>
            <w:left w:val="none" w:sz="0" w:space="0" w:color="auto"/>
            <w:bottom w:val="none" w:sz="0" w:space="0" w:color="auto"/>
            <w:right w:val="none" w:sz="0" w:space="0" w:color="auto"/>
          </w:divBdr>
        </w:div>
        <w:div w:id="1626154802">
          <w:marLeft w:val="0"/>
          <w:marRight w:val="0"/>
          <w:marTop w:val="0"/>
          <w:marBottom w:val="225"/>
          <w:divBdr>
            <w:top w:val="none" w:sz="0" w:space="0" w:color="auto"/>
            <w:left w:val="none" w:sz="0" w:space="0" w:color="auto"/>
            <w:bottom w:val="none" w:sz="0" w:space="0" w:color="auto"/>
            <w:right w:val="none" w:sz="0" w:space="0" w:color="auto"/>
          </w:divBdr>
        </w:div>
        <w:div w:id="852063995">
          <w:marLeft w:val="0"/>
          <w:marRight w:val="0"/>
          <w:marTop w:val="0"/>
          <w:marBottom w:val="225"/>
          <w:divBdr>
            <w:top w:val="none" w:sz="0" w:space="0" w:color="auto"/>
            <w:left w:val="none" w:sz="0" w:space="0" w:color="auto"/>
            <w:bottom w:val="none" w:sz="0" w:space="0" w:color="auto"/>
            <w:right w:val="none" w:sz="0" w:space="0" w:color="auto"/>
          </w:divBdr>
        </w:div>
        <w:div w:id="873805559">
          <w:marLeft w:val="0"/>
          <w:marRight w:val="0"/>
          <w:marTop w:val="0"/>
          <w:marBottom w:val="225"/>
          <w:divBdr>
            <w:top w:val="none" w:sz="0" w:space="0" w:color="auto"/>
            <w:left w:val="none" w:sz="0" w:space="0" w:color="auto"/>
            <w:bottom w:val="none" w:sz="0" w:space="0" w:color="auto"/>
            <w:right w:val="none" w:sz="0" w:space="0" w:color="auto"/>
          </w:divBdr>
        </w:div>
        <w:div w:id="913513398">
          <w:marLeft w:val="0"/>
          <w:marRight w:val="0"/>
          <w:marTop w:val="0"/>
          <w:marBottom w:val="225"/>
          <w:divBdr>
            <w:top w:val="none" w:sz="0" w:space="0" w:color="auto"/>
            <w:left w:val="none" w:sz="0" w:space="0" w:color="auto"/>
            <w:bottom w:val="none" w:sz="0" w:space="0" w:color="auto"/>
            <w:right w:val="none" w:sz="0" w:space="0" w:color="auto"/>
          </w:divBdr>
        </w:div>
        <w:div w:id="696734277">
          <w:marLeft w:val="0"/>
          <w:marRight w:val="0"/>
          <w:marTop w:val="0"/>
          <w:marBottom w:val="225"/>
          <w:divBdr>
            <w:top w:val="none" w:sz="0" w:space="0" w:color="auto"/>
            <w:left w:val="none" w:sz="0" w:space="0" w:color="auto"/>
            <w:bottom w:val="none" w:sz="0" w:space="0" w:color="auto"/>
            <w:right w:val="none" w:sz="0" w:space="0" w:color="auto"/>
          </w:divBdr>
        </w:div>
        <w:div w:id="1418597382">
          <w:marLeft w:val="0"/>
          <w:marRight w:val="0"/>
          <w:marTop w:val="0"/>
          <w:marBottom w:val="225"/>
          <w:divBdr>
            <w:top w:val="none" w:sz="0" w:space="0" w:color="auto"/>
            <w:left w:val="none" w:sz="0" w:space="0" w:color="auto"/>
            <w:bottom w:val="none" w:sz="0" w:space="0" w:color="auto"/>
            <w:right w:val="none" w:sz="0" w:space="0" w:color="auto"/>
          </w:divBdr>
        </w:div>
        <w:div w:id="755519900">
          <w:marLeft w:val="0"/>
          <w:marRight w:val="0"/>
          <w:marTop w:val="0"/>
          <w:marBottom w:val="225"/>
          <w:divBdr>
            <w:top w:val="none" w:sz="0" w:space="0" w:color="auto"/>
            <w:left w:val="none" w:sz="0" w:space="0" w:color="auto"/>
            <w:bottom w:val="none" w:sz="0" w:space="0" w:color="auto"/>
            <w:right w:val="none" w:sz="0" w:space="0" w:color="auto"/>
          </w:divBdr>
        </w:div>
        <w:div w:id="1906377">
          <w:marLeft w:val="0"/>
          <w:marRight w:val="0"/>
          <w:marTop w:val="0"/>
          <w:marBottom w:val="225"/>
          <w:divBdr>
            <w:top w:val="none" w:sz="0" w:space="0" w:color="auto"/>
            <w:left w:val="none" w:sz="0" w:space="0" w:color="auto"/>
            <w:bottom w:val="none" w:sz="0" w:space="0" w:color="auto"/>
            <w:right w:val="none" w:sz="0" w:space="0" w:color="auto"/>
          </w:divBdr>
        </w:div>
        <w:div w:id="872619110">
          <w:marLeft w:val="0"/>
          <w:marRight w:val="0"/>
          <w:marTop w:val="0"/>
          <w:marBottom w:val="225"/>
          <w:divBdr>
            <w:top w:val="none" w:sz="0" w:space="0" w:color="auto"/>
            <w:left w:val="none" w:sz="0" w:space="0" w:color="auto"/>
            <w:bottom w:val="none" w:sz="0" w:space="0" w:color="auto"/>
            <w:right w:val="none" w:sz="0" w:space="0" w:color="auto"/>
          </w:divBdr>
        </w:div>
        <w:div w:id="239288709">
          <w:marLeft w:val="0"/>
          <w:marRight w:val="0"/>
          <w:marTop w:val="0"/>
          <w:marBottom w:val="225"/>
          <w:divBdr>
            <w:top w:val="none" w:sz="0" w:space="0" w:color="auto"/>
            <w:left w:val="none" w:sz="0" w:space="0" w:color="auto"/>
            <w:bottom w:val="none" w:sz="0" w:space="0" w:color="auto"/>
            <w:right w:val="none" w:sz="0" w:space="0" w:color="auto"/>
          </w:divBdr>
        </w:div>
        <w:div w:id="969896713">
          <w:marLeft w:val="0"/>
          <w:marRight w:val="0"/>
          <w:marTop w:val="0"/>
          <w:marBottom w:val="225"/>
          <w:divBdr>
            <w:top w:val="none" w:sz="0" w:space="0" w:color="auto"/>
            <w:left w:val="none" w:sz="0" w:space="0" w:color="auto"/>
            <w:bottom w:val="none" w:sz="0" w:space="0" w:color="auto"/>
            <w:right w:val="none" w:sz="0" w:space="0" w:color="auto"/>
          </w:divBdr>
        </w:div>
        <w:div w:id="1152259620">
          <w:marLeft w:val="0"/>
          <w:marRight w:val="0"/>
          <w:marTop w:val="0"/>
          <w:marBottom w:val="225"/>
          <w:divBdr>
            <w:top w:val="none" w:sz="0" w:space="0" w:color="auto"/>
            <w:left w:val="none" w:sz="0" w:space="0" w:color="auto"/>
            <w:bottom w:val="none" w:sz="0" w:space="0" w:color="auto"/>
            <w:right w:val="none" w:sz="0" w:space="0" w:color="auto"/>
          </w:divBdr>
        </w:div>
        <w:div w:id="1983656272">
          <w:marLeft w:val="0"/>
          <w:marRight w:val="0"/>
          <w:marTop w:val="0"/>
          <w:marBottom w:val="225"/>
          <w:divBdr>
            <w:top w:val="none" w:sz="0" w:space="0" w:color="auto"/>
            <w:left w:val="none" w:sz="0" w:space="0" w:color="auto"/>
            <w:bottom w:val="none" w:sz="0" w:space="0" w:color="auto"/>
            <w:right w:val="none" w:sz="0" w:space="0" w:color="auto"/>
          </w:divBdr>
        </w:div>
        <w:div w:id="1917740842">
          <w:marLeft w:val="0"/>
          <w:marRight w:val="0"/>
          <w:marTop w:val="0"/>
          <w:marBottom w:val="225"/>
          <w:divBdr>
            <w:top w:val="none" w:sz="0" w:space="0" w:color="auto"/>
            <w:left w:val="none" w:sz="0" w:space="0" w:color="auto"/>
            <w:bottom w:val="none" w:sz="0" w:space="0" w:color="auto"/>
            <w:right w:val="none" w:sz="0" w:space="0" w:color="auto"/>
          </w:divBdr>
        </w:div>
        <w:div w:id="1645424519">
          <w:marLeft w:val="0"/>
          <w:marRight w:val="0"/>
          <w:marTop w:val="0"/>
          <w:marBottom w:val="225"/>
          <w:divBdr>
            <w:top w:val="none" w:sz="0" w:space="0" w:color="auto"/>
            <w:left w:val="none" w:sz="0" w:space="0" w:color="auto"/>
            <w:bottom w:val="none" w:sz="0" w:space="0" w:color="auto"/>
            <w:right w:val="none" w:sz="0" w:space="0" w:color="auto"/>
          </w:divBdr>
        </w:div>
        <w:div w:id="1525290375">
          <w:marLeft w:val="0"/>
          <w:marRight w:val="0"/>
          <w:marTop w:val="0"/>
          <w:marBottom w:val="225"/>
          <w:divBdr>
            <w:top w:val="none" w:sz="0" w:space="0" w:color="auto"/>
            <w:left w:val="none" w:sz="0" w:space="0" w:color="auto"/>
            <w:bottom w:val="none" w:sz="0" w:space="0" w:color="auto"/>
            <w:right w:val="none" w:sz="0" w:space="0" w:color="auto"/>
          </w:divBdr>
        </w:div>
        <w:div w:id="1824396772">
          <w:marLeft w:val="0"/>
          <w:marRight w:val="0"/>
          <w:marTop w:val="0"/>
          <w:marBottom w:val="225"/>
          <w:divBdr>
            <w:top w:val="none" w:sz="0" w:space="0" w:color="auto"/>
            <w:left w:val="none" w:sz="0" w:space="0" w:color="auto"/>
            <w:bottom w:val="none" w:sz="0" w:space="0" w:color="auto"/>
            <w:right w:val="none" w:sz="0" w:space="0" w:color="auto"/>
          </w:divBdr>
        </w:div>
        <w:div w:id="1313749387">
          <w:marLeft w:val="0"/>
          <w:marRight w:val="0"/>
          <w:marTop w:val="0"/>
          <w:marBottom w:val="225"/>
          <w:divBdr>
            <w:top w:val="none" w:sz="0" w:space="0" w:color="auto"/>
            <w:left w:val="none" w:sz="0" w:space="0" w:color="auto"/>
            <w:bottom w:val="none" w:sz="0" w:space="0" w:color="auto"/>
            <w:right w:val="none" w:sz="0" w:space="0" w:color="auto"/>
          </w:divBdr>
        </w:div>
        <w:div w:id="782113393">
          <w:marLeft w:val="0"/>
          <w:marRight w:val="0"/>
          <w:marTop w:val="0"/>
          <w:marBottom w:val="225"/>
          <w:divBdr>
            <w:top w:val="none" w:sz="0" w:space="0" w:color="auto"/>
            <w:left w:val="none" w:sz="0" w:space="0" w:color="auto"/>
            <w:bottom w:val="none" w:sz="0" w:space="0" w:color="auto"/>
            <w:right w:val="none" w:sz="0" w:space="0" w:color="auto"/>
          </w:divBdr>
        </w:div>
        <w:div w:id="2074035509">
          <w:marLeft w:val="0"/>
          <w:marRight w:val="0"/>
          <w:marTop w:val="0"/>
          <w:marBottom w:val="225"/>
          <w:divBdr>
            <w:top w:val="none" w:sz="0" w:space="0" w:color="auto"/>
            <w:left w:val="none" w:sz="0" w:space="0" w:color="auto"/>
            <w:bottom w:val="none" w:sz="0" w:space="0" w:color="auto"/>
            <w:right w:val="none" w:sz="0" w:space="0" w:color="auto"/>
          </w:divBdr>
        </w:div>
        <w:div w:id="580405561">
          <w:marLeft w:val="0"/>
          <w:marRight w:val="0"/>
          <w:marTop w:val="0"/>
          <w:marBottom w:val="225"/>
          <w:divBdr>
            <w:top w:val="none" w:sz="0" w:space="0" w:color="auto"/>
            <w:left w:val="none" w:sz="0" w:space="0" w:color="auto"/>
            <w:bottom w:val="none" w:sz="0" w:space="0" w:color="auto"/>
            <w:right w:val="none" w:sz="0" w:space="0" w:color="auto"/>
          </w:divBdr>
        </w:div>
        <w:div w:id="1059943121">
          <w:marLeft w:val="0"/>
          <w:marRight w:val="0"/>
          <w:marTop w:val="0"/>
          <w:marBottom w:val="225"/>
          <w:divBdr>
            <w:top w:val="none" w:sz="0" w:space="0" w:color="auto"/>
            <w:left w:val="none" w:sz="0" w:space="0" w:color="auto"/>
            <w:bottom w:val="none" w:sz="0" w:space="0" w:color="auto"/>
            <w:right w:val="none" w:sz="0" w:space="0" w:color="auto"/>
          </w:divBdr>
        </w:div>
        <w:div w:id="1869102902">
          <w:marLeft w:val="0"/>
          <w:marRight w:val="0"/>
          <w:marTop w:val="0"/>
          <w:marBottom w:val="225"/>
          <w:divBdr>
            <w:top w:val="none" w:sz="0" w:space="0" w:color="auto"/>
            <w:left w:val="none" w:sz="0" w:space="0" w:color="auto"/>
            <w:bottom w:val="none" w:sz="0" w:space="0" w:color="auto"/>
            <w:right w:val="none" w:sz="0" w:space="0" w:color="auto"/>
          </w:divBdr>
        </w:div>
        <w:div w:id="84814776">
          <w:marLeft w:val="0"/>
          <w:marRight w:val="0"/>
          <w:marTop w:val="0"/>
          <w:marBottom w:val="225"/>
          <w:divBdr>
            <w:top w:val="none" w:sz="0" w:space="0" w:color="auto"/>
            <w:left w:val="none" w:sz="0" w:space="0" w:color="auto"/>
            <w:bottom w:val="none" w:sz="0" w:space="0" w:color="auto"/>
            <w:right w:val="none" w:sz="0" w:space="0" w:color="auto"/>
          </w:divBdr>
        </w:div>
        <w:div w:id="990871195">
          <w:marLeft w:val="0"/>
          <w:marRight w:val="0"/>
          <w:marTop w:val="0"/>
          <w:marBottom w:val="225"/>
          <w:divBdr>
            <w:top w:val="none" w:sz="0" w:space="0" w:color="auto"/>
            <w:left w:val="none" w:sz="0" w:space="0" w:color="auto"/>
            <w:bottom w:val="none" w:sz="0" w:space="0" w:color="auto"/>
            <w:right w:val="none" w:sz="0" w:space="0" w:color="auto"/>
          </w:divBdr>
        </w:div>
        <w:div w:id="1017729234">
          <w:marLeft w:val="0"/>
          <w:marRight w:val="0"/>
          <w:marTop w:val="0"/>
          <w:marBottom w:val="225"/>
          <w:divBdr>
            <w:top w:val="none" w:sz="0" w:space="0" w:color="auto"/>
            <w:left w:val="none" w:sz="0" w:space="0" w:color="auto"/>
            <w:bottom w:val="none" w:sz="0" w:space="0" w:color="auto"/>
            <w:right w:val="none" w:sz="0" w:space="0" w:color="auto"/>
          </w:divBdr>
        </w:div>
        <w:div w:id="590553463">
          <w:marLeft w:val="0"/>
          <w:marRight w:val="0"/>
          <w:marTop w:val="0"/>
          <w:marBottom w:val="225"/>
          <w:divBdr>
            <w:top w:val="none" w:sz="0" w:space="0" w:color="auto"/>
            <w:left w:val="none" w:sz="0" w:space="0" w:color="auto"/>
            <w:bottom w:val="none" w:sz="0" w:space="0" w:color="auto"/>
            <w:right w:val="none" w:sz="0" w:space="0" w:color="auto"/>
          </w:divBdr>
        </w:div>
        <w:div w:id="1475685167">
          <w:marLeft w:val="0"/>
          <w:marRight w:val="0"/>
          <w:marTop w:val="0"/>
          <w:marBottom w:val="225"/>
          <w:divBdr>
            <w:top w:val="none" w:sz="0" w:space="0" w:color="auto"/>
            <w:left w:val="none" w:sz="0" w:space="0" w:color="auto"/>
            <w:bottom w:val="none" w:sz="0" w:space="0" w:color="auto"/>
            <w:right w:val="none" w:sz="0" w:space="0" w:color="auto"/>
          </w:divBdr>
        </w:div>
        <w:div w:id="774254731">
          <w:marLeft w:val="0"/>
          <w:marRight w:val="0"/>
          <w:marTop w:val="0"/>
          <w:marBottom w:val="225"/>
          <w:divBdr>
            <w:top w:val="none" w:sz="0" w:space="0" w:color="auto"/>
            <w:left w:val="none" w:sz="0" w:space="0" w:color="auto"/>
            <w:bottom w:val="none" w:sz="0" w:space="0" w:color="auto"/>
            <w:right w:val="none" w:sz="0" w:space="0" w:color="auto"/>
          </w:divBdr>
        </w:div>
        <w:div w:id="1594439272">
          <w:marLeft w:val="0"/>
          <w:marRight w:val="0"/>
          <w:marTop w:val="0"/>
          <w:marBottom w:val="225"/>
          <w:divBdr>
            <w:top w:val="none" w:sz="0" w:space="0" w:color="auto"/>
            <w:left w:val="none" w:sz="0" w:space="0" w:color="auto"/>
            <w:bottom w:val="none" w:sz="0" w:space="0" w:color="auto"/>
            <w:right w:val="none" w:sz="0" w:space="0" w:color="auto"/>
          </w:divBdr>
        </w:div>
        <w:div w:id="1164859003">
          <w:marLeft w:val="0"/>
          <w:marRight w:val="0"/>
          <w:marTop w:val="0"/>
          <w:marBottom w:val="225"/>
          <w:divBdr>
            <w:top w:val="none" w:sz="0" w:space="0" w:color="auto"/>
            <w:left w:val="none" w:sz="0" w:space="0" w:color="auto"/>
            <w:bottom w:val="none" w:sz="0" w:space="0" w:color="auto"/>
            <w:right w:val="none" w:sz="0" w:space="0" w:color="auto"/>
          </w:divBdr>
        </w:div>
        <w:div w:id="1601134905">
          <w:marLeft w:val="0"/>
          <w:marRight w:val="0"/>
          <w:marTop w:val="0"/>
          <w:marBottom w:val="225"/>
          <w:divBdr>
            <w:top w:val="none" w:sz="0" w:space="0" w:color="auto"/>
            <w:left w:val="none" w:sz="0" w:space="0" w:color="auto"/>
            <w:bottom w:val="none" w:sz="0" w:space="0" w:color="auto"/>
            <w:right w:val="none" w:sz="0" w:space="0" w:color="auto"/>
          </w:divBdr>
        </w:div>
        <w:div w:id="1590193996">
          <w:marLeft w:val="0"/>
          <w:marRight w:val="0"/>
          <w:marTop w:val="0"/>
          <w:marBottom w:val="225"/>
          <w:divBdr>
            <w:top w:val="none" w:sz="0" w:space="0" w:color="auto"/>
            <w:left w:val="none" w:sz="0" w:space="0" w:color="auto"/>
            <w:bottom w:val="none" w:sz="0" w:space="0" w:color="auto"/>
            <w:right w:val="none" w:sz="0" w:space="0" w:color="auto"/>
          </w:divBdr>
        </w:div>
        <w:div w:id="1620990153">
          <w:marLeft w:val="0"/>
          <w:marRight w:val="0"/>
          <w:marTop w:val="0"/>
          <w:marBottom w:val="225"/>
          <w:divBdr>
            <w:top w:val="none" w:sz="0" w:space="0" w:color="auto"/>
            <w:left w:val="none" w:sz="0" w:space="0" w:color="auto"/>
            <w:bottom w:val="none" w:sz="0" w:space="0" w:color="auto"/>
            <w:right w:val="none" w:sz="0" w:space="0" w:color="auto"/>
          </w:divBdr>
        </w:div>
        <w:div w:id="1147017209">
          <w:marLeft w:val="0"/>
          <w:marRight w:val="0"/>
          <w:marTop w:val="0"/>
          <w:marBottom w:val="225"/>
          <w:divBdr>
            <w:top w:val="none" w:sz="0" w:space="0" w:color="auto"/>
            <w:left w:val="none" w:sz="0" w:space="0" w:color="auto"/>
            <w:bottom w:val="none" w:sz="0" w:space="0" w:color="auto"/>
            <w:right w:val="none" w:sz="0" w:space="0" w:color="auto"/>
          </w:divBdr>
        </w:div>
        <w:div w:id="791289044">
          <w:marLeft w:val="0"/>
          <w:marRight w:val="0"/>
          <w:marTop w:val="0"/>
          <w:marBottom w:val="225"/>
          <w:divBdr>
            <w:top w:val="none" w:sz="0" w:space="0" w:color="auto"/>
            <w:left w:val="none" w:sz="0" w:space="0" w:color="auto"/>
            <w:bottom w:val="none" w:sz="0" w:space="0" w:color="auto"/>
            <w:right w:val="none" w:sz="0" w:space="0" w:color="auto"/>
          </w:divBdr>
        </w:div>
        <w:div w:id="162402261">
          <w:marLeft w:val="0"/>
          <w:marRight w:val="0"/>
          <w:marTop w:val="0"/>
          <w:marBottom w:val="225"/>
          <w:divBdr>
            <w:top w:val="none" w:sz="0" w:space="0" w:color="auto"/>
            <w:left w:val="none" w:sz="0" w:space="0" w:color="auto"/>
            <w:bottom w:val="none" w:sz="0" w:space="0" w:color="auto"/>
            <w:right w:val="none" w:sz="0" w:space="0" w:color="auto"/>
          </w:divBdr>
        </w:div>
        <w:div w:id="2060089916">
          <w:marLeft w:val="0"/>
          <w:marRight w:val="0"/>
          <w:marTop w:val="0"/>
          <w:marBottom w:val="225"/>
          <w:divBdr>
            <w:top w:val="none" w:sz="0" w:space="0" w:color="auto"/>
            <w:left w:val="none" w:sz="0" w:space="0" w:color="auto"/>
            <w:bottom w:val="none" w:sz="0" w:space="0" w:color="auto"/>
            <w:right w:val="none" w:sz="0" w:space="0" w:color="auto"/>
          </w:divBdr>
        </w:div>
        <w:div w:id="38432106">
          <w:marLeft w:val="0"/>
          <w:marRight w:val="0"/>
          <w:marTop w:val="0"/>
          <w:marBottom w:val="225"/>
          <w:divBdr>
            <w:top w:val="none" w:sz="0" w:space="0" w:color="auto"/>
            <w:left w:val="none" w:sz="0" w:space="0" w:color="auto"/>
            <w:bottom w:val="none" w:sz="0" w:space="0" w:color="auto"/>
            <w:right w:val="none" w:sz="0" w:space="0" w:color="auto"/>
          </w:divBdr>
        </w:div>
        <w:div w:id="602807671">
          <w:marLeft w:val="0"/>
          <w:marRight w:val="0"/>
          <w:marTop w:val="0"/>
          <w:marBottom w:val="225"/>
          <w:divBdr>
            <w:top w:val="none" w:sz="0" w:space="0" w:color="auto"/>
            <w:left w:val="none" w:sz="0" w:space="0" w:color="auto"/>
            <w:bottom w:val="none" w:sz="0" w:space="0" w:color="auto"/>
            <w:right w:val="none" w:sz="0" w:space="0" w:color="auto"/>
          </w:divBdr>
        </w:div>
        <w:div w:id="1882479108">
          <w:marLeft w:val="0"/>
          <w:marRight w:val="0"/>
          <w:marTop w:val="0"/>
          <w:marBottom w:val="225"/>
          <w:divBdr>
            <w:top w:val="none" w:sz="0" w:space="0" w:color="auto"/>
            <w:left w:val="none" w:sz="0" w:space="0" w:color="auto"/>
            <w:bottom w:val="none" w:sz="0" w:space="0" w:color="auto"/>
            <w:right w:val="none" w:sz="0" w:space="0" w:color="auto"/>
          </w:divBdr>
        </w:div>
        <w:div w:id="2130393928">
          <w:marLeft w:val="0"/>
          <w:marRight w:val="0"/>
          <w:marTop w:val="0"/>
          <w:marBottom w:val="225"/>
          <w:divBdr>
            <w:top w:val="none" w:sz="0" w:space="0" w:color="auto"/>
            <w:left w:val="none" w:sz="0" w:space="0" w:color="auto"/>
            <w:bottom w:val="none" w:sz="0" w:space="0" w:color="auto"/>
            <w:right w:val="none" w:sz="0" w:space="0" w:color="auto"/>
          </w:divBdr>
        </w:div>
        <w:div w:id="1592664387">
          <w:marLeft w:val="0"/>
          <w:marRight w:val="0"/>
          <w:marTop w:val="0"/>
          <w:marBottom w:val="225"/>
          <w:divBdr>
            <w:top w:val="none" w:sz="0" w:space="0" w:color="auto"/>
            <w:left w:val="none" w:sz="0" w:space="0" w:color="auto"/>
            <w:bottom w:val="none" w:sz="0" w:space="0" w:color="auto"/>
            <w:right w:val="none" w:sz="0" w:space="0" w:color="auto"/>
          </w:divBdr>
        </w:div>
        <w:div w:id="150606893">
          <w:marLeft w:val="0"/>
          <w:marRight w:val="0"/>
          <w:marTop w:val="0"/>
          <w:marBottom w:val="225"/>
          <w:divBdr>
            <w:top w:val="none" w:sz="0" w:space="0" w:color="auto"/>
            <w:left w:val="none" w:sz="0" w:space="0" w:color="auto"/>
            <w:bottom w:val="none" w:sz="0" w:space="0" w:color="auto"/>
            <w:right w:val="none" w:sz="0" w:space="0" w:color="auto"/>
          </w:divBdr>
        </w:div>
        <w:div w:id="174618829">
          <w:marLeft w:val="0"/>
          <w:marRight w:val="0"/>
          <w:marTop w:val="0"/>
          <w:marBottom w:val="225"/>
          <w:divBdr>
            <w:top w:val="none" w:sz="0" w:space="0" w:color="auto"/>
            <w:left w:val="none" w:sz="0" w:space="0" w:color="auto"/>
            <w:bottom w:val="none" w:sz="0" w:space="0" w:color="auto"/>
            <w:right w:val="none" w:sz="0" w:space="0" w:color="auto"/>
          </w:divBdr>
        </w:div>
        <w:div w:id="1928615940">
          <w:marLeft w:val="0"/>
          <w:marRight w:val="0"/>
          <w:marTop w:val="0"/>
          <w:marBottom w:val="225"/>
          <w:divBdr>
            <w:top w:val="none" w:sz="0" w:space="0" w:color="auto"/>
            <w:left w:val="none" w:sz="0" w:space="0" w:color="auto"/>
            <w:bottom w:val="none" w:sz="0" w:space="0" w:color="auto"/>
            <w:right w:val="none" w:sz="0" w:space="0" w:color="auto"/>
          </w:divBdr>
        </w:div>
        <w:div w:id="769855628">
          <w:marLeft w:val="0"/>
          <w:marRight w:val="0"/>
          <w:marTop w:val="0"/>
          <w:marBottom w:val="225"/>
          <w:divBdr>
            <w:top w:val="none" w:sz="0" w:space="0" w:color="auto"/>
            <w:left w:val="none" w:sz="0" w:space="0" w:color="auto"/>
            <w:bottom w:val="none" w:sz="0" w:space="0" w:color="auto"/>
            <w:right w:val="none" w:sz="0" w:space="0" w:color="auto"/>
          </w:divBdr>
        </w:div>
        <w:div w:id="1567690340">
          <w:marLeft w:val="0"/>
          <w:marRight w:val="0"/>
          <w:marTop w:val="0"/>
          <w:marBottom w:val="225"/>
          <w:divBdr>
            <w:top w:val="none" w:sz="0" w:space="0" w:color="auto"/>
            <w:left w:val="none" w:sz="0" w:space="0" w:color="auto"/>
            <w:bottom w:val="none" w:sz="0" w:space="0" w:color="auto"/>
            <w:right w:val="none" w:sz="0" w:space="0" w:color="auto"/>
          </w:divBdr>
        </w:div>
        <w:div w:id="699017647">
          <w:marLeft w:val="0"/>
          <w:marRight w:val="0"/>
          <w:marTop w:val="0"/>
          <w:marBottom w:val="225"/>
          <w:divBdr>
            <w:top w:val="none" w:sz="0" w:space="0" w:color="auto"/>
            <w:left w:val="none" w:sz="0" w:space="0" w:color="auto"/>
            <w:bottom w:val="none" w:sz="0" w:space="0" w:color="auto"/>
            <w:right w:val="none" w:sz="0" w:space="0" w:color="auto"/>
          </w:divBdr>
        </w:div>
        <w:div w:id="728962446">
          <w:marLeft w:val="0"/>
          <w:marRight w:val="0"/>
          <w:marTop w:val="0"/>
          <w:marBottom w:val="225"/>
          <w:divBdr>
            <w:top w:val="none" w:sz="0" w:space="0" w:color="auto"/>
            <w:left w:val="none" w:sz="0" w:space="0" w:color="auto"/>
            <w:bottom w:val="none" w:sz="0" w:space="0" w:color="auto"/>
            <w:right w:val="none" w:sz="0" w:space="0" w:color="auto"/>
          </w:divBdr>
        </w:div>
        <w:div w:id="1772433067">
          <w:marLeft w:val="0"/>
          <w:marRight w:val="0"/>
          <w:marTop w:val="0"/>
          <w:marBottom w:val="225"/>
          <w:divBdr>
            <w:top w:val="none" w:sz="0" w:space="0" w:color="auto"/>
            <w:left w:val="none" w:sz="0" w:space="0" w:color="auto"/>
            <w:bottom w:val="none" w:sz="0" w:space="0" w:color="auto"/>
            <w:right w:val="none" w:sz="0" w:space="0" w:color="auto"/>
          </w:divBdr>
        </w:div>
        <w:div w:id="2069716870">
          <w:marLeft w:val="0"/>
          <w:marRight w:val="0"/>
          <w:marTop w:val="0"/>
          <w:marBottom w:val="225"/>
          <w:divBdr>
            <w:top w:val="none" w:sz="0" w:space="0" w:color="auto"/>
            <w:left w:val="none" w:sz="0" w:space="0" w:color="auto"/>
            <w:bottom w:val="none" w:sz="0" w:space="0" w:color="auto"/>
            <w:right w:val="none" w:sz="0" w:space="0" w:color="auto"/>
          </w:divBdr>
        </w:div>
      </w:divsChild>
    </w:div>
    <w:div w:id="1213345099">
      <w:bodyDiv w:val="1"/>
      <w:marLeft w:val="0"/>
      <w:marRight w:val="0"/>
      <w:marTop w:val="0"/>
      <w:marBottom w:val="0"/>
      <w:divBdr>
        <w:top w:val="none" w:sz="0" w:space="0" w:color="auto"/>
        <w:left w:val="none" w:sz="0" w:space="0" w:color="auto"/>
        <w:bottom w:val="none" w:sz="0" w:space="0" w:color="auto"/>
        <w:right w:val="none" w:sz="0" w:space="0" w:color="auto"/>
      </w:divBdr>
    </w:div>
    <w:div w:id="1538004725">
      <w:bodyDiv w:val="1"/>
      <w:marLeft w:val="0"/>
      <w:marRight w:val="0"/>
      <w:marTop w:val="0"/>
      <w:marBottom w:val="0"/>
      <w:divBdr>
        <w:top w:val="none" w:sz="0" w:space="0" w:color="auto"/>
        <w:left w:val="none" w:sz="0" w:space="0" w:color="auto"/>
        <w:bottom w:val="none" w:sz="0" w:space="0" w:color="auto"/>
        <w:right w:val="none" w:sz="0" w:space="0" w:color="auto"/>
      </w:divBdr>
      <w:divsChild>
        <w:div w:id="603534275">
          <w:marLeft w:val="0"/>
          <w:marRight w:val="0"/>
          <w:marTop w:val="0"/>
          <w:marBottom w:val="225"/>
          <w:divBdr>
            <w:top w:val="none" w:sz="0" w:space="0" w:color="auto"/>
            <w:left w:val="none" w:sz="0" w:space="0" w:color="auto"/>
            <w:bottom w:val="none" w:sz="0" w:space="0" w:color="auto"/>
            <w:right w:val="none" w:sz="0" w:space="0" w:color="auto"/>
          </w:divBdr>
        </w:div>
        <w:div w:id="1590384293">
          <w:marLeft w:val="0"/>
          <w:marRight w:val="0"/>
          <w:marTop w:val="0"/>
          <w:marBottom w:val="225"/>
          <w:divBdr>
            <w:top w:val="none" w:sz="0" w:space="0" w:color="auto"/>
            <w:left w:val="none" w:sz="0" w:space="0" w:color="auto"/>
            <w:bottom w:val="none" w:sz="0" w:space="0" w:color="auto"/>
            <w:right w:val="none" w:sz="0" w:space="0" w:color="auto"/>
          </w:divBdr>
        </w:div>
        <w:div w:id="293407696">
          <w:marLeft w:val="0"/>
          <w:marRight w:val="0"/>
          <w:marTop w:val="0"/>
          <w:marBottom w:val="225"/>
          <w:divBdr>
            <w:top w:val="none" w:sz="0" w:space="0" w:color="auto"/>
            <w:left w:val="none" w:sz="0" w:space="0" w:color="auto"/>
            <w:bottom w:val="none" w:sz="0" w:space="0" w:color="auto"/>
            <w:right w:val="none" w:sz="0" w:space="0" w:color="auto"/>
          </w:divBdr>
        </w:div>
        <w:div w:id="1164860050">
          <w:marLeft w:val="0"/>
          <w:marRight w:val="0"/>
          <w:marTop w:val="0"/>
          <w:marBottom w:val="225"/>
          <w:divBdr>
            <w:top w:val="none" w:sz="0" w:space="0" w:color="auto"/>
            <w:left w:val="none" w:sz="0" w:space="0" w:color="auto"/>
            <w:bottom w:val="none" w:sz="0" w:space="0" w:color="auto"/>
            <w:right w:val="none" w:sz="0" w:space="0" w:color="auto"/>
          </w:divBdr>
        </w:div>
        <w:div w:id="1069229568">
          <w:marLeft w:val="0"/>
          <w:marRight w:val="0"/>
          <w:marTop w:val="0"/>
          <w:marBottom w:val="225"/>
          <w:divBdr>
            <w:top w:val="none" w:sz="0" w:space="0" w:color="auto"/>
            <w:left w:val="none" w:sz="0" w:space="0" w:color="auto"/>
            <w:bottom w:val="none" w:sz="0" w:space="0" w:color="auto"/>
            <w:right w:val="none" w:sz="0" w:space="0" w:color="auto"/>
          </w:divBdr>
        </w:div>
        <w:div w:id="1915316155">
          <w:marLeft w:val="0"/>
          <w:marRight w:val="0"/>
          <w:marTop w:val="0"/>
          <w:marBottom w:val="225"/>
          <w:divBdr>
            <w:top w:val="none" w:sz="0" w:space="0" w:color="auto"/>
            <w:left w:val="none" w:sz="0" w:space="0" w:color="auto"/>
            <w:bottom w:val="none" w:sz="0" w:space="0" w:color="auto"/>
            <w:right w:val="none" w:sz="0" w:space="0" w:color="auto"/>
          </w:divBdr>
        </w:div>
        <w:div w:id="401804226">
          <w:marLeft w:val="0"/>
          <w:marRight w:val="0"/>
          <w:marTop w:val="0"/>
          <w:marBottom w:val="225"/>
          <w:divBdr>
            <w:top w:val="none" w:sz="0" w:space="0" w:color="auto"/>
            <w:left w:val="none" w:sz="0" w:space="0" w:color="auto"/>
            <w:bottom w:val="none" w:sz="0" w:space="0" w:color="auto"/>
            <w:right w:val="none" w:sz="0" w:space="0" w:color="auto"/>
          </w:divBdr>
        </w:div>
        <w:div w:id="705371953">
          <w:marLeft w:val="0"/>
          <w:marRight w:val="0"/>
          <w:marTop w:val="0"/>
          <w:marBottom w:val="225"/>
          <w:divBdr>
            <w:top w:val="none" w:sz="0" w:space="0" w:color="auto"/>
            <w:left w:val="none" w:sz="0" w:space="0" w:color="auto"/>
            <w:bottom w:val="none" w:sz="0" w:space="0" w:color="auto"/>
            <w:right w:val="none" w:sz="0" w:space="0" w:color="auto"/>
          </w:divBdr>
        </w:div>
        <w:div w:id="793863195">
          <w:marLeft w:val="0"/>
          <w:marRight w:val="0"/>
          <w:marTop w:val="0"/>
          <w:marBottom w:val="225"/>
          <w:divBdr>
            <w:top w:val="none" w:sz="0" w:space="0" w:color="auto"/>
            <w:left w:val="none" w:sz="0" w:space="0" w:color="auto"/>
            <w:bottom w:val="none" w:sz="0" w:space="0" w:color="auto"/>
            <w:right w:val="none" w:sz="0" w:space="0" w:color="auto"/>
          </w:divBdr>
        </w:div>
        <w:div w:id="1974215610">
          <w:marLeft w:val="0"/>
          <w:marRight w:val="0"/>
          <w:marTop w:val="0"/>
          <w:marBottom w:val="225"/>
          <w:divBdr>
            <w:top w:val="none" w:sz="0" w:space="0" w:color="auto"/>
            <w:left w:val="none" w:sz="0" w:space="0" w:color="auto"/>
            <w:bottom w:val="none" w:sz="0" w:space="0" w:color="auto"/>
            <w:right w:val="none" w:sz="0" w:space="0" w:color="auto"/>
          </w:divBdr>
        </w:div>
        <w:div w:id="865681429">
          <w:marLeft w:val="0"/>
          <w:marRight w:val="0"/>
          <w:marTop w:val="0"/>
          <w:marBottom w:val="225"/>
          <w:divBdr>
            <w:top w:val="none" w:sz="0" w:space="0" w:color="auto"/>
            <w:left w:val="none" w:sz="0" w:space="0" w:color="auto"/>
            <w:bottom w:val="none" w:sz="0" w:space="0" w:color="auto"/>
            <w:right w:val="none" w:sz="0" w:space="0" w:color="auto"/>
          </w:divBdr>
        </w:div>
        <w:div w:id="62531559">
          <w:marLeft w:val="0"/>
          <w:marRight w:val="0"/>
          <w:marTop w:val="0"/>
          <w:marBottom w:val="225"/>
          <w:divBdr>
            <w:top w:val="none" w:sz="0" w:space="0" w:color="auto"/>
            <w:left w:val="none" w:sz="0" w:space="0" w:color="auto"/>
            <w:bottom w:val="none" w:sz="0" w:space="0" w:color="auto"/>
            <w:right w:val="none" w:sz="0" w:space="0" w:color="auto"/>
          </w:divBdr>
        </w:div>
        <w:div w:id="1731230519">
          <w:marLeft w:val="0"/>
          <w:marRight w:val="0"/>
          <w:marTop w:val="0"/>
          <w:marBottom w:val="225"/>
          <w:divBdr>
            <w:top w:val="none" w:sz="0" w:space="0" w:color="auto"/>
            <w:left w:val="none" w:sz="0" w:space="0" w:color="auto"/>
            <w:bottom w:val="none" w:sz="0" w:space="0" w:color="auto"/>
            <w:right w:val="none" w:sz="0" w:space="0" w:color="auto"/>
          </w:divBdr>
        </w:div>
        <w:div w:id="678894992">
          <w:marLeft w:val="0"/>
          <w:marRight w:val="0"/>
          <w:marTop w:val="0"/>
          <w:marBottom w:val="225"/>
          <w:divBdr>
            <w:top w:val="none" w:sz="0" w:space="0" w:color="auto"/>
            <w:left w:val="none" w:sz="0" w:space="0" w:color="auto"/>
            <w:bottom w:val="none" w:sz="0" w:space="0" w:color="auto"/>
            <w:right w:val="none" w:sz="0" w:space="0" w:color="auto"/>
          </w:divBdr>
        </w:div>
        <w:div w:id="460849903">
          <w:marLeft w:val="0"/>
          <w:marRight w:val="0"/>
          <w:marTop w:val="0"/>
          <w:marBottom w:val="225"/>
          <w:divBdr>
            <w:top w:val="none" w:sz="0" w:space="0" w:color="auto"/>
            <w:left w:val="none" w:sz="0" w:space="0" w:color="auto"/>
            <w:bottom w:val="none" w:sz="0" w:space="0" w:color="auto"/>
            <w:right w:val="none" w:sz="0" w:space="0" w:color="auto"/>
          </w:divBdr>
        </w:div>
        <w:div w:id="543715656">
          <w:marLeft w:val="0"/>
          <w:marRight w:val="0"/>
          <w:marTop w:val="0"/>
          <w:marBottom w:val="225"/>
          <w:divBdr>
            <w:top w:val="none" w:sz="0" w:space="0" w:color="auto"/>
            <w:left w:val="none" w:sz="0" w:space="0" w:color="auto"/>
            <w:bottom w:val="none" w:sz="0" w:space="0" w:color="auto"/>
            <w:right w:val="none" w:sz="0" w:space="0" w:color="auto"/>
          </w:divBdr>
        </w:div>
        <w:div w:id="200635785">
          <w:marLeft w:val="0"/>
          <w:marRight w:val="0"/>
          <w:marTop w:val="0"/>
          <w:marBottom w:val="225"/>
          <w:divBdr>
            <w:top w:val="none" w:sz="0" w:space="0" w:color="auto"/>
            <w:left w:val="none" w:sz="0" w:space="0" w:color="auto"/>
            <w:bottom w:val="none" w:sz="0" w:space="0" w:color="auto"/>
            <w:right w:val="none" w:sz="0" w:space="0" w:color="auto"/>
          </w:divBdr>
        </w:div>
        <w:div w:id="1058287566">
          <w:marLeft w:val="0"/>
          <w:marRight w:val="0"/>
          <w:marTop w:val="0"/>
          <w:marBottom w:val="225"/>
          <w:divBdr>
            <w:top w:val="none" w:sz="0" w:space="0" w:color="auto"/>
            <w:left w:val="none" w:sz="0" w:space="0" w:color="auto"/>
            <w:bottom w:val="none" w:sz="0" w:space="0" w:color="auto"/>
            <w:right w:val="none" w:sz="0" w:space="0" w:color="auto"/>
          </w:divBdr>
        </w:div>
        <w:div w:id="197936628">
          <w:marLeft w:val="0"/>
          <w:marRight w:val="0"/>
          <w:marTop w:val="0"/>
          <w:marBottom w:val="225"/>
          <w:divBdr>
            <w:top w:val="none" w:sz="0" w:space="0" w:color="auto"/>
            <w:left w:val="none" w:sz="0" w:space="0" w:color="auto"/>
            <w:bottom w:val="none" w:sz="0" w:space="0" w:color="auto"/>
            <w:right w:val="none" w:sz="0" w:space="0" w:color="auto"/>
          </w:divBdr>
        </w:div>
        <w:div w:id="1101950323">
          <w:marLeft w:val="0"/>
          <w:marRight w:val="0"/>
          <w:marTop w:val="0"/>
          <w:marBottom w:val="225"/>
          <w:divBdr>
            <w:top w:val="none" w:sz="0" w:space="0" w:color="auto"/>
            <w:left w:val="none" w:sz="0" w:space="0" w:color="auto"/>
            <w:bottom w:val="none" w:sz="0" w:space="0" w:color="auto"/>
            <w:right w:val="none" w:sz="0" w:space="0" w:color="auto"/>
          </w:divBdr>
        </w:div>
        <w:div w:id="278100792">
          <w:marLeft w:val="0"/>
          <w:marRight w:val="0"/>
          <w:marTop w:val="0"/>
          <w:marBottom w:val="225"/>
          <w:divBdr>
            <w:top w:val="none" w:sz="0" w:space="0" w:color="auto"/>
            <w:left w:val="none" w:sz="0" w:space="0" w:color="auto"/>
            <w:bottom w:val="none" w:sz="0" w:space="0" w:color="auto"/>
            <w:right w:val="none" w:sz="0" w:space="0" w:color="auto"/>
          </w:divBdr>
        </w:div>
        <w:div w:id="1309440273">
          <w:marLeft w:val="0"/>
          <w:marRight w:val="0"/>
          <w:marTop w:val="0"/>
          <w:marBottom w:val="225"/>
          <w:divBdr>
            <w:top w:val="none" w:sz="0" w:space="0" w:color="auto"/>
            <w:left w:val="none" w:sz="0" w:space="0" w:color="auto"/>
            <w:bottom w:val="none" w:sz="0" w:space="0" w:color="auto"/>
            <w:right w:val="none" w:sz="0" w:space="0" w:color="auto"/>
          </w:divBdr>
        </w:div>
        <w:div w:id="675884356">
          <w:marLeft w:val="0"/>
          <w:marRight w:val="0"/>
          <w:marTop w:val="0"/>
          <w:marBottom w:val="225"/>
          <w:divBdr>
            <w:top w:val="none" w:sz="0" w:space="0" w:color="auto"/>
            <w:left w:val="none" w:sz="0" w:space="0" w:color="auto"/>
            <w:bottom w:val="none" w:sz="0" w:space="0" w:color="auto"/>
            <w:right w:val="none" w:sz="0" w:space="0" w:color="auto"/>
          </w:divBdr>
        </w:div>
        <w:div w:id="574704322">
          <w:marLeft w:val="0"/>
          <w:marRight w:val="0"/>
          <w:marTop w:val="0"/>
          <w:marBottom w:val="225"/>
          <w:divBdr>
            <w:top w:val="none" w:sz="0" w:space="0" w:color="auto"/>
            <w:left w:val="none" w:sz="0" w:space="0" w:color="auto"/>
            <w:bottom w:val="none" w:sz="0" w:space="0" w:color="auto"/>
            <w:right w:val="none" w:sz="0" w:space="0" w:color="auto"/>
          </w:divBdr>
        </w:div>
        <w:div w:id="447698638">
          <w:marLeft w:val="0"/>
          <w:marRight w:val="0"/>
          <w:marTop w:val="0"/>
          <w:marBottom w:val="225"/>
          <w:divBdr>
            <w:top w:val="none" w:sz="0" w:space="0" w:color="auto"/>
            <w:left w:val="none" w:sz="0" w:space="0" w:color="auto"/>
            <w:bottom w:val="none" w:sz="0" w:space="0" w:color="auto"/>
            <w:right w:val="none" w:sz="0" w:space="0" w:color="auto"/>
          </w:divBdr>
        </w:div>
        <w:div w:id="1141771832">
          <w:marLeft w:val="0"/>
          <w:marRight w:val="0"/>
          <w:marTop w:val="0"/>
          <w:marBottom w:val="225"/>
          <w:divBdr>
            <w:top w:val="none" w:sz="0" w:space="0" w:color="auto"/>
            <w:left w:val="none" w:sz="0" w:space="0" w:color="auto"/>
            <w:bottom w:val="none" w:sz="0" w:space="0" w:color="auto"/>
            <w:right w:val="none" w:sz="0" w:space="0" w:color="auto"/>
          </w:divBdr>
        </w:div>
        <w:div w:id="390541039">
          <w:marLeft w:val="0"/>
          <w:marRight w:val="0"/>
          <w:marTop w:val="0"/>
          <w:marBottom w:val="225"/>
          <w:divBdr>
            <w:top w:val="none" w:sz="0" w:space="0" w:color="auto"/>
            <w:left w:val="none" w:sz="0" w:space="0" w:color="auto"/>
            <w:bottom w:val="none" w:sz="0" w:space="0" w:color="auto"/>
            <w:right w:val="none" w:sz="0" w:space="0" w:color="auto"/>
          </w:divBdr>
        </w:div>
        <w:div w:id="638615500">
          <w:marLeft w:val="0"/>
          <w:marRight w:val="0"/>
          <w:marTop w:val="0"/>
          <w:marBottom w:val="225"/>
          <w:divBdr>
            <w:top w:val="none" w:sz="0" w:space="0" w:color="auto"/>
            <w:left w:val="none" w:sz="0" w:space="0" w:color="auto"/>
            <w:bottom w:val="none" w:sz="0" w:space="0" w:color="auto"/>
            <w:right w:val="none" w:sz="0" w:space="0" w:color="auto"/>
          </w:divBdr>
        </w:div>
        <w:div w:id="1518152001">
          <w:marLeft w:val="0"/>
          <w:marRight w:val="0"/>
          <w:marTop w:val="0"/>
          <w:marBottom w:val="225"/>
          <w:divBdr>
            <w:top w:val="none" w:sz="0" w:space="0" w:color="auto"/>
            <w:left w:val="none" w:sz="0" w:space="0" w:color="auto"/>
            <w:bottom w:val="none" w:sz="0" w:space="0" w:color="auto"/>
            <w:right w:val="none" w:sz="0" w:space="0" w:color="auto"/>
          </w:divBdr>
        </w:div>
        <w:div w:id="700474278">
          <w:marLeft w:val="0"/>
          <w:marRight w:val="0"/>
          <w:marTop w:val="0"/>
          <w:marBottom w:val="225"/>
          <w:divBdr>
            <w:top w:val="none" w:sz="0" w:space="0" w:color="auto"/>
            <w:left w:val="none" w:sz="0" w:space="0" w:color="auto"/>
            <w:bottom w:val="none" w:sz="0" w:space="0" w:color="auto"/>
            <w:right w:val="none" w:sz="0" w:space="0" w:color="auto"/>
          </w:divBdr>
        </w:div>
        <w:div w:id="1930843236">
          <w:marLeft w:val="0"/>
          <w:marRight w:val="0"/>
          <w:marTop w:val="0"/>
          <w:marBottom w:val="225"/>
          <w:divBdr>
            <w:top w:val="none" w:sz="0" w:space="0" w:color="auto"/>
            <w:left w:val="none" w:sz="0" w:space="0" w:color="auto"/>
            <w:bottom w:val="none" w:sz="0" w:space="0" w:color="auto"/>
            <w:right w:val="none" w:sz="0" w:space="0" w:color="auto"/>
          </w:divBdr>
        </w:div>
        <w:div w:id="781999592">
          <w:marLeft w:val="0"/>
          <w:marRight w:val="0"/>
          <w:marTop w:val="0"/>
          <w:marBottom w:val="225"/>
          <w:divBdr>
            <w:top w:val="none" w:sz="0" w:space="0" w:color="auto"/>
            <w:left w:val="none" w:sz="0" w:space="0" w:color="auto"/>
            <w:bottom w:val="none" w:sz="0" w:space="0" w:color="auto"/>
            <w:right w:val="none" w:sz="0" w:space="0" w:color="auto"/>
          </w:divBdr>
        </w:div>
        <w:div w:id="1030640979">
          <w:marLeft w:val="0"/>
          <w:marRight w:val="0"/>
          <w:marTop w:val="0"/>
          <w:marBottom w:val="225"/>
          <w:divBdr>
            <w:top w:val="none" w:sz="0" w:space="0" w:color="auto"/>
            <w:left w:val="none" w:sz="0" w:space="0" w:color="auto"/>
            <w:bottom w:val="none" w:sz="0" w:space="0" w:color="auto"/>
            <w:right w:val="none" w:sz="0" w:space="0" w:color="auto"/>
          </w:divBdr>
        </w:div>
        <w:div w:id="2010478705">
          <w:marLeft w:val="0"/>
          <w:marRight w:val="0"/>
          <w:marTop w:val="0"/>
          <w:marBottom w:val="225"/>
          <w:divBdr>
            <w:top w:val="none" w:sz="0" w:space="0" w:color="auto"/>
            <w:left w:val="none" w:sz="0" w:space="0" w:color="auto"/>
            <w:bottom w:val="none" w:sz="0" w:space="0" w:color="auto"/>
            <w:right w:val="none" w:sz="0" w:space="0" w:color="auto"/>
          </w:divBdr>
        </w:div>
        <w:div w:id="797186604">
          <w:marLeft w:val="0"/>
          <w:marRight w:val="0"/>
          <w:marTop w:val="0"/>
          <w:marBottom w:val="225"/>
          <w:divBdr>
            <w:top w:val="none" w:sz="0" w:space="0" w:color="auto"/>
            <w:left w:val="none" w:sz="0" w:space="0" w:color="auto"/>
            <w:bottom w:val="none" w:sz="0" w:space="0" w:color="auto"/>
            <w:right w:val="none" w:sz="0" w:space="0" w:color="auto"/>
          </w:divBdr>
        </w:div>
        <w:div w:id="568544511">
          <w:marLeft w:val="0"/>
          <w:marRight w:val="0"/>
          <w:marTop w:val="0"/>
          <w:marBottom w:val="225"/>
          <w:divBdr>
            <w:top w:val="none" w:sz="0" w:space="0" w:color="auto"/>
            <w:left w:val="none" w:sz="0" w:space="0" w:color="auto"/>
            <w:bottom w:val="none" w:sz="0" w:space="0" w:color="auto"/>
            <w:right w:val="none" w:sz="0" w:space="0" w:color="auto"/>
          </w:divBdr>
        </w:div>
        <w:div w:id="1652902697">
          <w:marLeft w:val="0"/>
          <w:marRight w:val="0"/>
          <w:marTop w:val="0"/>
          <w:marBottom w:val="225"/>
          <w:divBdr>
            <w:top w:val="none" w:sz="0" w:space="0" w:color="auto"/>
            <w:left w:val="none" w:sz="0" w:space="0" w:color="auto"/>
            <w:bottom w:val="none" w:sz="0" w:space="0" w:color="auto"/>
            <w:right w:val="none" w:sz="0" w:space="0" w:color="auto"/>
          </w:divBdr>
        </w:div>
        <w:div w:id="187062595">
          <w:marLeft w:val="0"/>
          <w:marRight w:val="0"/>
          <w:marTop w:val="0"/>
          <w:marBottom w:val="225"/>
          <w:divBdr>
            <w:top w:val="none" w:sz="0" w:space="0" w:color="auto"/>
            <w:left w:val="none" w:sz="0" w:space="0" w:color="auto"/>
            <w:bottom w:val="none" w:sz="0" w:space="0" w:color="auto"/>
            <w:right w:val="none" w:sz="0" w:space="0" w:color="auto"/>
          </w:divBdr>
        </w:div>
        <w:div w:id="308289931">
          <w:marLeft w:val="0"/>
          <w:marRight w:val="0"/>
          <w:marTop w:val="0"/>
          <w:marBottom w:val="225"/>
          <w:divBdr>
            <w:top w:val="none" w:sz="0" w:space="0" w:color="auto"/>
            <w:left w:val="none" w:sz="0" w:space="0" w:color="auto"/>
            <w:bottom w:val="none" w:sz="0" w:space="0" w:color="auto"/>
            <w:right w:val="none" w:sz="0" w:space="0" w:color="auto"/>
          </w:divBdr>
        </w:div>
        <w:div w:id="1965234694">
          <w:marLeft w:val="0"/>
          <w:marRight w:val="0"/>
          <w:marTop w:val="0"/>
          <w:marBottom w:val="225"/>
          <w:divBdr>
            <w:top w:val="none" w:sz="0" w:space="0" w:color="auto"/>
            <w:left w:val="none" w:sz="0" w:space="0" w:color="auto"/>
            <w:bottom w:val="none" w:sz="0" w:space="0" w:color="auto"/>
            <w:right w:val="none" w:sz="0" w:space="0" w:color="auto"/>
          </w:divBdr>
        </w:div>
        <w:div w:id="1565215437">
          <w:marLeft w:val="0"/>
          <w:marRight w:val="0"/>
          <w:marTop w:val="0"/>
          <w:marBottom w:val="225"/>
          <w:divBdr>
            <w:top w:val="none" w:sz="0" w:space="0" w:color="auto"/>
            <w:left w:val="none" w:sz="0" w:space="0" w:color="auto"/>
            <w:bottom w:val="none" w:sz="0" w:space="0" w:color="auto"/>
            <w:right w:val="none" w:sz="0" w:space="0" w:color="auto"/>
          </w:divBdr>
        </w:div>
        <w:div w:id="695425971">
          <w:marLeft w:val="0"/>
          <w:marRight w:val="0"/>
          <w:marTop w:val="0"/>
          <w:marBottom w:val="225"/>
          <w:divBdr>
            <w:top w:val="none" w:sz="0" w:space="0" w:color="auto"/>
            <w:left w:val="none" w:sz="0" w:space="0" w:color="auto"/>
            <w:bottom w:val="none" w:sz="0" w:space="0" w:color="auto"/>
            <w:right w:val="none" w:sz="0" w:space="0" w:color="auto"/>
          </w:divBdr>
        </w:div>
        <w:div w:id="1924953773">
          <w:marLeft w:val="0"/>
          <w:marRight w:val="0"/>
          <w:marTop w:val="0"/>
          <w:marBottom w:val="225"/>
          <w:divBdr>
            <w:top w:val="none" w:sz="0" w:space="0" w:color="auto"/>
            <w:left w:val="none" w:sz="0" w:space="0" w:color="auto"/>
            <w:bottom w:val="none" w:sz="0" w:space="0" w:color="auto"/>
            <w:right w:val="none" w:sz="0" w:space="0" w:color="auto"/>
          </w:divBdr>
        </w:div>
        <w:div w:id="1824928137">
          <w:marLeft w:val="0"/>
          <w:marRight w:val="0"/>
          <w:marTop w:val="0"/>
          <w:marBottom w:val="225"/>
          <w:divBdr>
            <w:top w:val="none" w:sz="0" w:space="0" w:color="auto"/>
            <w:left w:val="none" w:sz="0" w:space="0" w:color="auto"/>
            <w:bottom w:val="none" w:sz="0" w:space="0" w:color="auto"/>
            <w:right w:val="none" w:sz="0" w:space="0" w:color="auto"/>
          </w:divBdr>
        </w:div>
        <w:div w:id="1725981888">
          <w:marLeft w:val="0"/>
          <w:marRight w:val="0"/>
          <w:marTop w:val="0"/>
          <w:marBottom w:val="225"/>
          <w:divBdr>
            <w:top w:val="none" w:sz="0" w:space="0" w:color="auto"/>
            <w:left w:val="none" w:sz="0" w:space="0" w:color="auto"/>
            <w:bottom w:val="none" w:sz="0" w:space="0" w:color="auto"/>
            <w:right w:val="none" w:sz="0" w:space="0" w:color="auto"/>
          </w:divBdr>
        </w:div>
        <w:div w:id="1038967238">
          <w:marLeft w:val="0"/>
          <w:marRight w:val="0"/>
          <w:marTop w:val="0"/>
          <w:marBottom w:val="225"/>
          <w:divBdr>
            <w:top w:val="none" w:sz="0" w:space="0" w:color="auto"/>
            <w:left w:val="none" w:sz="0" w:space="0" w:color="auto"/>
            <w:bottom w:val="none" w:sz="0" w:space="0" w:color="auto"/>
            <w:right w:val="none" w:sz="0" w:space="0" w:color="auto"/>
          </w:divBdr>
        </w:div>
        <w:div w:id="250092141">
          <w:marLeft w:val="0"/>
          <w:marRight w:val="0"/>
          <w:marTop w:val="0"/>
          <w:marBottom w:val="225"/>
          <w:divBdr>
            <w:top w:val="none" w:sz="0" w:space="0" w:color="auto"/>
            <w:left w:val="none" w:sz="0" w:space="0" w:color="auto"/>
            <w:bottom w:val="none" w:sz="0" w:space="0" w:color="auto"/>
            <w:right w:val="none" w:sz="0" w:space="0" w:color="auto"/>
          </w:divBdr>
        </w:div>
        <w:div w:id="1548908054">
          <w:marLeft w:val="0"/>
          <w:marRight w:val="0"/>
          <w:marTop w:val="0"/>
          <w:marBottom w:val="225"/>
          <w:divBdr>
            <w:top w:val="none" w:sz="0" w:space="0" w:color="auto"/>
            <w:left w:val="none" w:sz="0" w:space="0" w:color="auto"/>
            <w:bottom w:val="none" w:sz="0" w:space="0" w:color="auto"/>
            <w:right w:val="none" w:sz="0" w:space="0" w:color="auto"/>
          </w:divBdr>
        </w:div>
        <w:div w:id="1351033777">
          <w:marLeft w:val="0"/>
          <w:marRight w:val="0"/>
          <w:marTop w:val="0"/>
          <w:marBottom w:val="225"/>
          <w:divBdr>
            <w:top w:val="none" w:sz="0" w:space="0" w:color="auto"/>
            <w:left w:val="none" w:sz="0" w:space="0" w:color="auto"/>
            <w:bottom w:val="none" w:sz="0" w:space="0" w:color="auto"/>
            <w:right w:val="none" w:sz="0" w:space="0" w:color="auto"/>
          </w:divBdr>
        </w:div>
        <w:div w:id="1106193267">
          <w:marLeft w:val="0"/>
          <w:marRight w:val="0"/>
          <w:marTop w:val="0"/>
          <w:marBottom w:val="225"/>
          <w:divBdr>
            <w:top w:val="none" w:sz="0" w:space="0" w:color="auto"/>
            <w:left w:val="none" w:sz="0" w:space="0" w:color="auto"/>
            <w:bottom w:val="none" w:sz="0" w:space="0" w:color="auto"/>
            <w:right w:val="none" w:sz="0" w:space="0" w:color="auto"/>
          </w:divBdr>
        </w:div>
        <w:div w:id="1764035262">
          <w:marLeft w:val="0"/>
          <w:marRight w:val="0"/>
          <w:marTop w:val="0"/>
          <w:marBottom w:val="225"/>
          <w:divBdr>
            <w:top w:val="none" w:sz="0" w:space="0" w:color="auto"/>
            <w:left w:val="none" w:sz="0" w:space="0" w:color="auto"/>
            <w:bottom w:val="none" w:sz="0" w:space="0" w:color="auto"/>
            <w:right w:val="none" w:sz="0" w:space="0" w:color="auto"/>
          </w:divBdr>
        </w:div>
        <w:div w:id="874319030">
          <w:marLeft w:val="0"/>
          <w:marRight w:val="0"/>
          <w:marTop w:val="0"/>
          <w:marBottom w:val="225"/>
          <w:divBdr>
            <w:top w:val="none" w:sz="0" w:space="0" w:color="auto"/>
            <w:left w:val="none" w:sz="0" w:space="0" w:color="auto"/>
            <w:bottom w:val="none" w:sz="0" w:space="0" w:color="auto"/>
            <w:right w:val="none" w:sz="0" w:space="0" w:color="auto"/>
          </w:divBdr>
        </w:div>
        <w:div w:id="574053092">
          <w:marLeft w:val="0"/>
          <w:marRight w:val="0"/>
          <w:marTop w:val="0"/>
          <w:marBottom w:val="225"/>
          <w:divBdr>
            <w:top w:val="none" w:sz="0" w:space="0" w:color="auto"/>
            <w:left w:val="none" w:sz="0" w:space="0" w:color="auto"/>
            <w:bottom w:val="none" w:sz="0" w:space="0" w:color="auto"/>
            <w:right w:val="none" w:sz="0" w:space="0" w:color="auto"/>
          </w:divBdr>
        </w:div>
        <w:div w:id="225537223">
          <w:marLeft w:val="0"/>
          <w:marRight w:val="0"/>
          <w:marTop w:val="0"/>
          <w:marBottom w:val="225"/>
          <w:divBdr>
            <w:top w:val="none" w:sz="0" w:space="0" w:color="auto"/>
            <w:left w:val="none" w:sz="0" w:space="0" w:color="auto"/>
            <w:bottom w:val="none" w:sz="0" w:space="0" w:color="auto"/>
            <w:right w:val="none" w:sz="0" w:space="0" w:color="auto"/>
          </w:divBdr>
        </w:div>
        <w:div w:id="930890098">
          <w:marLeft w:val="0"/>
          <w:marRight w:val="0"/>
          <w:marTop w:val="0"/>
          <w:marBottom w:val="225"/>
          <w:divBdr>
            <w:top w:val="none" w:sz="0" w:space="0" w:color="auto"/>
            <w:left w:val="none" w:sz="0" w:space="0" w:color="auto"/>
            <w:bottom w:val="none" w:sz="0" w:space="0" w:color="auto"/>
            <w:right w:val="none" w:sz="0" w:space="0" w:color="auto"/>
          </w:divBdr>
        </w:div>
        <w:div w:id="1543714094">
          <w:marLeft w:val="0"/>
          <w:marRight w:val="0"/>
          <w:marTop w:val="0"/>
          <w:marBottom w:val="225"/>
          <w:divBdr>
            <w:top w:val="none" w:sz="0" w:space="0" w:color="auto"/>
            <w:left w:val="none" w:sz="0" w:space="0" w:color="auto"/>
            <w:bottom w:val="none" w:sz="0" w:space="0" w:color="auto"/>
            <w:right w:val="none" w:sz="0" w:space="0" w:color="auto"/>
          </w:divBdr>
        </w:div>
        <w:div w:id="1070495801">
          <w:marLeft w:val="0"/>
          <w:marRight w:val="0"/>
          <w:marTop w:val="0"/>
          <w:marBottom w:val="225"/>
          <w:divBdr>
            <w:top w:val="none" w:sz="0" w:space="0" w:color="auto"/>
            <w:left w:val="none" w:sz="0" w:space="0" w:color="auto"/>
            <w:bottom w:val="none" w:sz="0" w:space="0" w:color="auto"/>
            <w:right w:val="none" w:sz="0" w:space="0" w:color="auto"/>
          </w:divBdr>
        </w:div>
        <w:div w:id="1439451216">
          <w:marLeft w:val="0"/>
          <w:marRight w:val="0"/>
          <w:marTop w:val="0"/>
          <w:marBottom w:val="225"/>
          <w:divBdr>
            <w:top w:val="none" w:sz="0" w:space="0" w:color="auto"/>
            <w:left w:val="none" w:sz="0" w:space="0" w:color="auto"/>
            <w:bottom w:val="none" w:sz="0" w:space="0" w:color="auto"/>
            <w:right w:val="none" w:sz="0" w:space="0" w:color="auto"/>
          </w:divBdr>
        </w:div>
        <w:div w:id="1298876405">
          <w:marLeft w:val="0"/>
          <w:marRight w:val="0"/>
          <w:marTop w:val="0"/>
          <w:marBottom w:val="225"/>
          <w:divBdr>
            <w:top w:val="none" w:sz="0" w:space="0" w:color="auto"/>
            <w:left w:val="none" w:sz="0" w:space="0" w:color="auto"/>
            <w:bottom w:val="none" w:sz="0" w:space="0" w:color="auto"/>
            <w:right w:val="none" w:sz="0" w:space="0" w:color="auto"/>
          </w:divBdr>
        </w:div>
        <w:div w:id="848836248">
          <w:marLeft w:val="0"/>
          <w:marRight w:val="0"/>
          <w:marTop w:val="0"/>
          <w:marBottom w:val="225"/>
          <w:divBdr>
            <w:top w:val="none" w:sz="0" w:space="0" w:color="auto"/>
            <w:left w:val="none" w:sz="0" w:space="0" w:color="auto"/>
            <w:bottom w:val="none" w:sz="0" w:space="0" w:color="auto"/>
            <w:right w:val="none" w:sz="0" w:space="0" w:color="auto"/>
          </w:divBdr>
        </w:div>
        <w:div w:id="2116896663">
          <w:marLeft w:val="0"/>
          <w:marRight w:val="0"/>
          <w:marTop w:val="0"/>
          <w:marBottom w:val="225"/>
          <w:divBdr>
            <w:top w:val="none" w:sz="0" w:space="0" w:color="auto"/>
            <w:left w:val="none" w:sz="0" w:space="0" w:color="auto"/>
            <w:bottom w:val="none" w:sz="0" w:space="0" w:color="auto"/>
            <w:right w:val="none" w:sz="0" w:space="0" w:color="auto"/>
          </w:divBdr>
        </w:div>
        <w:div w:id="156464671">
          <w:marLeft w:val="0"/>
          <w:marRight w:val="0"/>
          <w:marTop w:val="0"/>
          <w:marBottom w:val="225"/>
          <w:divBdr>
            <w:top w:val="none" w:sz="0" w:space="0" w:color="auto"/>
            <w:left w:val="none" w:sz="0" w:space="0" w:color="auto"/>
            <w:bottom w:val="none" w:sz="0" w:space="0" w:color="auto"/>
            <w:right w:val="none" w:sz="0" w:space="0" w:color="auto"/>
          </w:divBdr>
        </w:div>
        <w:div w:id="679553409">
          <w:marLeft w:val="0"/>
          <w:marRight w:val="0"/>
          <w:marTop w:val="0"/>
          <w:marBottom w:val="225"/>
          <w:divBdr>
            <w:top w:val="none" w:sz="0" w:space="0" w:color="auto"/>
            <w:left w:val="none" w:sz="0" w:space="0" w:color="auto"/>
            <w:bottom w:val="none" w:sz="0" w:space="0" w:color="auto"/>
            <w:right w:val="none" w:sz="0" w:space="0" w:color="auto"/>
          </w:divBdr>
        </w:div>
        <w:div w:id="1270284465">
          <w:marLeft w:val="0"/>
          <w:marRight w:val="0"/>
          <w:marTop w:val="0"/>
          <w:marBottom w:val="225"/>
          <w:divBdr>
            <w:top w:val="none" w:sz="0" w:space="0" w:color="auto"/>
            <w:left w:val="none" w:sz="0" w:space="0" w:color="auto"/>
            <w:bottom w:val="none" w:sz="0" w:space="0" w:color="auto"/>
            <w:right w:val="none" w:sz="0" w:space="0" w:color="auto"/>
          </w:divBdr>
        </w:div>
        <w:div w:id="134950677">
          <w:marLeft w:val="0"/>
          <w:marRight w:val="0"/>
          <w:marTop w:val="0"/>
          <w:marBottom w:val="225"/>
          <w:divBdr>
            <w:top w:val="none" w:sz="0" w:space="0" w:color="auto"/>
            <w:left w:val="none" w:sz="0" w:space="0" w:color="auto"/>
            <w:bottom w:val="none" w:sz="0" w:space="0" w:color="auto"/>
            <w:right w:val="none" w:sz="0" w:space="0" w:color="auto"/>
          </w:divBdr>
        </w:div>
        <w:div w:id="1043486535">
          <w:marLeft w:val="0"/>
          <w:marRight w:val="0"/>
          <w:marTop w:val="0"/>
          <w:marBottom w:val="225"/>
          <w:divBdr>
            <w:top w:val="none" w:sz="0" w:space="0" w:color="auto"/>
            <w:left w:val="none" w:sz="0" w:space="0" w:color="auto"/>
            <w:bottom w:val="none" w:sz="0" w:space="0" w:color="auto"/>
            <w:right w:val="none" w:sz="0" w:space="0" w:color="auto"/>
          </w:divBdr>
        </w:div>
        <w:div w:id="1830517821">
          <w:marLeft w:val="0"/>
          <w:marRight w:val="0"/>
          <w:marTop w:val="0"/>
          <w:marBottom w:val="225"/>
          <w:divBdr>
            <w:top w:val="none" w:sz="0" w:space="0" w:color="auto"/>
            <w:left w:val="none" w:sz="0" w:space="0" w:color="auto"/>
            <w:bottom w:val="none" w:sz="0" w:space="0" w:color="auto"/>
            <w:right w:val="none" w:sz="0" w:space="0" w:color="auto"/>
          </w:divBdr>
        </w:div>
        <w:div w:id="1350909044">
          <w:marLeft w:val="0"/>
          <w:marRight w:val="0"/>
          <w:marTop w:val="0"/>
          <w:marBottom w:val="225"/>
          <w:divBdr>
            <w:top w:val="none" w:sz="0" w:space="0" w:color="auto"/>
            <w:left w:val="none" w:sz="0" w:space="0" w:color="auto"/>
            <w:bottom w:val="none" w:sz="0" w:space="0" w:color="auto"/>
            <w:right w:val="none" w:sz="0" w:space="0" w:color="auto"/>
          </w:divBdr>
        </w:div>
        <w:div w:id="1328939162">
          <w:marLeft w:val="0"/>
          <w:marRight w:val="0"/>
          <w:marTop w:val="0"/>
          <w:marBottom w:val="225"/>
          <w:divBdr>
            <w:top w:val="none" w:sz="0" w:space="0" w:color="auto"/>
            <w:left w:val="none" w:sz="0" w:space="0" w:color="auto"/>
            <w:bottom w:val="none" w:sz="0" w:space="0" w:color="auto"/>
            <w:right w:val="none" w:sz="0" w:space="0" w:color="auto"/>
          </w:divBdr>
        </w:div>
        <w:div w:id="477843686">
          <w:marLeft w:val="0"/>
          <w:marRight w:val="0"/>
          <w:marTop w:val="0"/>
          <w:marBottom w:val="225"/>
          <w:divBdr>
            <w:top w:val="none" w:sz="0" w:space="0" w:color="auto"/>
            <w:left w:val="none" w:sz="0" w:space="0" w:color="auto"/>
            <w:bottom w:val="none" w:sz="0" w:space="0" w:color="auto"/>
            <w:right w:val="none" w:sz="0" w:space="0" w:color="auto"/>
          </w:divBdr>
        </w:div>
        <w:div w:id="730881789">
          <w:marLeft w:val="0"/>
          <w:marRight w:val="0"/>
          <w:marTop w:val="0"/>
          <w:marBottom w:val="225"/>
          <w:divBdr>
            <w:top w:val="none" w:sz="0" w:space="0" w:color="auto"/>
            <w:left w:val="none" w:sz="0" w:space="0" w:color="auto"/>
            <w:bottom w:val="none" w:sz="0" w:space="0" w:color="auto"/>
            <w:right w:val="none" w:sz="0" w:space="0" w:color="auto"/>
          </w:divBdr>
        </w:div>
        <w:div w:id="620964864">
          <w:marLeft w:val="0"/>
          <w:marRight w:val="0"/>
          <w:marTop w:val="0"/>
          <w:marBottom w:val="225"/>
          <w:divBdr>
            <w:top w:val="none" w:sz="0" w:space="0" w:color="auto"/>
            <w:left w:val="none" w:sz="0" w:space="0" w:color="auto"/>
            <w:bottom w:val="none" w:sz="0" w:space="0" w:color="auto"/>
            <w:right w:val="none" w:sz="0" w:space="0" w:color="auto"/>
          </w:divBdr>
        </w:div>
        <w:div w:id="87779401">
          <w:marLeft w:val="0"/>
          <w:marRight w:val="0"/>
          <w:marTop w:val="0"/>
          <w:marBottom w:val="225"/>
          <w:divBdr>
            <w:top w:val="none" w:sz="0" w:space="0" w:color="auto"/>
            <w:left w:val="none" w:sz="0" w:space="0" w:color="auto"/>
            <w:bottom w:val="none" w:sz="0" w:space="0" w:color="auto"/>
            <w:right w:val="none" w:sz="0" w:space="0" w:color="auto"/>
          </w:divBdr>
        </w:div>
        <w:div w:id="1368481428">
          <w:marLeft w:val="0"/>
          <w:marRight w:val="0"/>
          <w:marTop w:val="0"/>
          <w:marBottom w:val="225"/>
          <w:divBdr>
            <w:top w:val="none" w:sz="0" w:space="0" w:color="auto"/>
            <w:left w:val="none" w:sz="0" w:space="0" w:color="auto"/>
            <w:bottom w:val="none" w:sz="0" w:space="0" w:color="auto"/>
            <w:right w:val="none" w:sz="0" w:space="0" w:color="auto"/>
          </w:divBdr>
        </w:div>
        <w:div w:id="62683444">
          <w:marLeft w:val="0"/>
          <w:marRight w:val="0"/>
          <w:marTop w:val="0"/>
          <w:marBottom w:val="225"/>
          <w:divBdr>
            <w:top w:val="none" w:sz="0" w:space="0" w:color="auto"/>
            <w:left w:val="none" w:sz="0" w:space="0" w:color="auto"/>
            <w:bottom w:val="none" w:sz="0" w:space="0" w:color="auto"/>
            <w:right w:val="none" w:sz="0" w:space="0" w:color="auto"/>
          </w:divBdr>
        </w:div>
        <w:div w:id="1654214586">
          <w:marLeft w:val="0"/>
          <w:marRight w:val="0"/>
          <w:marTop w:val="0"/>
          <w:marBottom w:val="225"/>
          <w:divBdr>
            <w:top w:val="none" w:sz="0" w:space="0" w:color="auto"/>
            <w:left w:val="none" w:sz="0" w:space="0" w:color="auto"/>
            <w:bottom w:val="none" w:sz="0" w:space="0" w:color="auto"/>
            <w:right w:val="none" w:sz="0" w:space="0" w:color="auto"/>
          </w:divBdr>
        </w:div>
        <w:div w:id="690450962">
          <w:marLeft w:val="0"/>
          <w:marRight w:val="0"/>
          <w:marTop w:val="0"/>
          <w:marBottom w:val="225"/>
          <w:divBdr>
            <w:top w:val="none" w:sz="0" w:space="0" w:color="auto"/>
            <w:left w:val="none" w:sz="0" w:space="0" w:color="auto"/>
            <w:bottom w:val="none" w:sz="0" w:space="0" w:color="auto"/>
            <w:right w:val="none" w:sz="0" w:space="0" w:color="auto"/>
          </w:divBdr>
        </w:div>
        <w:div w:id="1166477223">
          <w:marLeft w:val="0"/>
          <w:marRight w:val="0"/>
          <w:marTop w:val="0"/>
          <w:marBottom w:val="225"/>
          <w:divBdr>
            <w:top w:val="none" w:sz="0" w:space="0" w:color="auto"/>
            <w:left w:val="none" w:sz="0" w:space="0" w:color="auto"/>
            <w:bottom w:val="none" w:sz="0" w:space="0" w:color="auto"/>
            <w:right w:val="none" w:sz="0" w:space="0" w:color="auto"/>
          </w:divBdr>
        </w:div>
        <w:div w:id="700278990">
          <w:marLeft w:val="0"/>
          <w:marRight w:val="0"/>
          <w:marTop w:val="0"/>
          <w:marBottom w:val="225"/>
          <w:divBdr>
            <w:top w:val="none" w:sz="0" w:space="0" w:color="auto"/>
            <w:left w:val="none" w:sz="0" w:space="0" w:color="auto"/>
            <w:bottom w:val="none" w:sz="0" w:space="0" w:color="auto"/>
            <w:right w:val="none" w:sz="0" w:space="0" w:color="auto"/>
          </w:divBdr>
        </w:div>
        <w:div w:id="1220090863">
          <w:marLeft w:val="0"/>
          <w:marRight w:val="0"/>
          <w:marTop w:val="0"/>
          <w:marBottom w:val="225"/>
          <w:divBdr>
            <w:top w:val="none" w:sz="0" w:space="0" w:color="auto"/>
            <w:left w:val="none" w:sz="0" w:space="0" w:color="auto"/>
            <w:bottom w:val="none" w:sz="0" w:space="0" w:color="auto"/>
            <w:right w:val="none" w:sz="0" w:space="0" w:color="auto"/>
          </w:divBdr>
        </w:div>
        <w:div w:id="1033383317">
          <w:marLeft w:val="0"/>
          <w:marRight w:val="0"/>
          <w:marTop w:val="0"/>
          <w:marBottom w:val="225"/>
          <w:divBdr>
            <w:top w:val="none" w:sz="0" w:space="0" w:color="auto"/>
            <w:left w:val="none" w:sz="0" w:space="0" w:color="auto"/>
            <w:bottom w:val="none" w:sz="0" w:space="0" w:color="auto"/>
            <w:right w:val="none" w:sz="0" w:space="0" w:color="auto"/>
          </w:divBdr>
        </w:div>
        <w:div w:id="1147474917">
          <w:marLeft w:val="0"/>
          <w:marRight w:val="0"/>
          <w:marTop w:val="0"/>
          <w:marBottom w:val="225"/>
          <w:divBdr>
            <w:top w:val="none" w:sz="0" w:space="0" w:color="auto"/>
            <w:left w:val="none" w:sz="0" w:space="0" w:color="auto"/>
            <w:bottom w:val="none" w:sz="0" w:space="0" w:color="auto"/>
            <w:right w:val="none" w:sz="0" w:space="0" w:color="auto"/>
          </w:divBdr>
        </w:div>
        <w:div w:id="1036662656">
          <w:marLeft w:val="0"/>
          <w:marRight w:val="0"/>
          <w:marTop w:val="0"/>
          <w:marBottom w:val="225"/>
          <w:divBdr>
            <w:top w:val="none" w:sz="0" w:space="0" w:color="auto"/>
            <w:left w:val="none" w:sz="0" w:space="0" w:color="auto"/>
            <w:bottom w:val="none" w:sz="0" w:space="0" w:color="auto"/>
            <w:right w:val="none" w:sz="0" w:space="0" w:color="auto"/>
          </w:divBdr>
        </w:div>
        <w:div w:id="1363436550">
          <w:marLeft w:val="0"/>
          <w:marRight w:val="0"/>
          <w:marTop w:val="0"/>
          <w:marBottom w:val="225"/>
          <w:divBdr>
            <w:top w:val="none" w:sz="0" w:space="0" w:color="auto"/>
            <w:left w:val="none" w:sz="0" w:space="0" w:color="auto"/>
            <w:bottom w:val="none" w:sz="0" w:space="0" w:color="auto"/>
            <w:right w:val="none" w:sz="0" w:space="0" w:color="auto"/>
          </w:divBdr>
        </w:div>
        <w:div w:id="1382484425">
          <w:marLeft w:val="0"/>
          <w:marRight w:val="0"/>
          <w:marTop w:val="0"/>
          <w:marBottom w:val="225"/>
          <w:divBdr>
            <w:top w:val="none" w:sz="0" w:space="0" w:color="auto"/>
            <w:left w:val="none" w:sz="0" w:space="0" w:color="auto"/>
            <w:bottom w:val="none" w:sz="0" w:space="0" w:color="auto"/>
            <w:right w:val="none" w:sz="0" w:space="0" w:color="auto"/>
          </w:divBdr>
        </w:div>
        <w:div w:id="2105882695">
          <w:marLeft w:val="0"/>
          <w:marRight w:val="0"/>
          <w:marTop w:val="0"/>
          <w:marBottom w:val="225"/>
          <w:divBdr>
            <w:top w:val="none" w:sz="0" w:space="0" w:color="auto"/>
            <w:left w:val="none" w:sz="0" w:space="0" w:color="auto"/>
            <w:bottom w:val="none" w:sz="0" w:space="0" w:color="auto"/>
            <w:right w:val="none" w:sz="0" w:space="0" w:color="auto"/>
          </w:divBdr>
        </w:div>
        <w:div w:id="101844071">
          <w:marLeft w:val="0"/>
          <w:marRight w:val="0"/>
          <w:marTop w:val="0"/>
          <w:marBottom w:val="225"/>
          <w:divBdr>
            <w:top w:val="none" w:sz="0" w:space="0" w:color="auto"/>
            <w:left w:val="none" w:sz="0" w:space="0" w:color="auto"/>
            <w:bottom w:val="none" w:sz="0" w:space="0" w:color="auto"/>
            <w:right w:val="none" w:sz="0" w:space="0" w:color="auto"/>
          </w:divBdr>
        </w:div>
        <w:div w:id="1568494656">
          <w:marLeft w:val="0"/>
          <w:marRight w:val="0"/>
          <w:marTop w:val="0"/>
          <w:marBottom w:val="225"/>
          <w:divBdr>
            <w:top w:val="none" w:sz="0" w:space="0" w:color="auto"/>
            <w:left w:val="none" w:sz="0" w:space="0" w:color="auto"/>
            <w:bottom w:val="none" w:sz="0" w:space="0" w:color="auto"/>
            <w:right w:val="none" w:sz="0" w:space="0" w:color="auto"/>
          </w:divBdr>
        </w:div>
        <w:div w:id="953637883">
          <w:marLeft w:val="0"/>
          <w:marRight w:val="0"/>
          <w:marTop w:val="0"/>
          <w:marBottom w:val="225"/>
          <w:divBdr>
            <w:top w:val="none" w:sz="0" w:space="0" w:color="auto"/>
            <w:left w:val="none" w:sz="0" w:space="0" w:color="auto"/>
            <w:bottom w:val="none" w:sz="0" w:space="0" w:color="auto"/>
            <w:right w:val="none" w:sz="0" w:space="0" w:color="auto"/>
          </w:divBdr>
        </w:div>
        <w:div w:id="1529218833">
          <w:marLeft w:val="0"/>
          <w:marRight w:val="0"/>
          <w:marTop w:val="0"/>
          <w:marBottom w:val="225"/>
          <w:divBdr>
            <w:top w:val="none" w:sz="0" w:space="0" w:color="auto"/>
            <w:left w:val="none" w:sz="0" w:space="0" w:color="auto"/>
            <w:bottom w:val="none" w:sz="0" w:space="0" w:color="auto"/>
            <w:right w:val="none" w:sz="0" w:space="0" w:color="auto"/>
          </w:divBdr>
        </w:div>
        <w:div w:id="388765550">
          <w:marLeft w:val="0"/>
          <w:marRight w:val="0"/>
          <w:marTop w:val="0"/>
          <w:marBottom w:val="225"/>
          <w:divBdr>
            <w:top w:val="none" w:sz="0" w:space="0" w:color="auto"/>
            <w:left w:val="none" w:sz="0" w:space="0" w:color="auto"/>
            <w:bottom w:val="none" w:sz="0" w:space="0" w:color="auto"/>
            <w:right w:val="none" w:sz="0" w:space="0" w:color="auto"/>
          </w:divBdr>
        </w:div>
        <w:div w:id="1870072222">
          <w:marLeft w:val="0"/>
          <w:marRight w:val="0"/>
          <w:marTop w:val="0"/>
          <w:marBottom w:val="225"/>
          <w:divBdr>
            <w:top w:val="none" w:sz="0" w:space="0" w:color="auto"/>
            <w:left w:val="none" w:sz="0" w:space="0" w:color="auto"/>
            <w:bottom w:val="none" w:sz="0" w:space="0" w:color="auto"/>
            <w:right w:val="none" w:sz="0" w:space="0" w:color="auto"/>
          </w:divBdr>
        </w:div>
        <w:div w:id="256132074">
          <w:marLeft w:val="0"/>
          <w:marRight w:val="0"/>
          <w:marTop w:val="0"/>
          <w:marBottom w:val="225"/>
          <w:divBdr>
            <w:top w:val="none" w:sz="0" w:space="0" w:color="auto"/>
            <w:left w:val="none" w:sz="0" w:space="0" w:color="auto"/>
            <w:bottom w:val="none" w:sz="0" w:space="0" w:color="auto"/>
            <w:right w:val="none" w:sz="0" w:space="0" w:color="auto"/>
          </w:divBdr>
        </w:div>
        <w:div w:id="2065446885">
          <w:marLeft w:val="0"/>
          <w:marRight w:val="0"/>
          <w:marTop w:val="0"/>
          <w:marBottom w:val="225"/>
          <w:divBdr>
            <w:top w:val="none" w:sz="0" w:space="0" w:color="auto"/>
            <w:left w:val="none" w:sz="0" w:space="0" w:color="auto"/>
            <w:bottom w:val="none" w:sz="0" w:space="0" w:color="auto"/>
            <w:right w:val="none" w:sz="0" w:space="0" w:color="auto"/>
          </w:divBdr>
        </w:div>
        <w:div w:id="1782650378">
          <w:marLeft w:val="0"/>
          <w:marRight w:val="0"/>
          <w:marTop w:val="0"/>
          <w:marBottom w:val="225"/>
          <w:divBdr>
            <w:top w:val="none" w:sz="0" w:space="0" w:color="auto"/>
            <w:left w:val="none" w:sz="0" w:space="0" w:color="auto"/>
            <w:bottom w:val="none" w:sz="0" w:space="0" w:color="auto"/>
            <w:right w:val="none" w:sz="0" w:space="0" w:color="auto"/>
          </w:divBdr>
        </w:div>
        <w:div w:id="220554345">
          <w:marLeft w:val="0"/>
          <w:marRight w:val="0"/>
          <w:marTop w:val="0"/>
          <w:marBottom w:val="225"/>
          <w:divBdr>
            <w:top w:val="none" w:sz="0" w:space="0" w:color="auto"/>
            <w:left w:val="none" w:sz="0" w:space="0" w:color="auto"/>
            <w:bottom w:val="none" w:sz="0" w:space="0" w:color="auto"/>
            <w:right w:val="none" w:sz="0" w:space="0" w:color="auto"/>
          </w:divBdr>
        </w:div>
        <w:div w:id="873811286">
          <w:marLeft w:val="0"/>
          <w:marRight w:val="0"/>
          <w:marTop w:val="0"/>
          <w:marBottom w:val="225"/>
          <w:divBdr>
            <w:top w:val="none" w:sz="0" w:space="0" w:color="auto"/>
            <w:left w:val="none" w:sz="0" w:space="0" w:color="auto"/>
            <w:bottom w:val="none" w:sz="0" w:space="0" w:color="auto"/>
            <w:right w:val="none" w:sz="0" w:space="0" w:color="auto"/>
          </w:divBdr>
        </w:div>
        <w:div w:id="2094205924">
          <w:marLeft w:val="0"/>
          <w:marRight w:val="0"/>
          <w:marTop w:val="0"/>
          <w:marBottom w:val="225"/>
          <w:divBdr>
            <w:top w:val="none" w:sz="0" w:space="0" w:color="auto"/>
            <w:left w:val="none" w:sz="0" w:space="0" w:color="auto"/>
            <w:bottom w:val="none" w:sz="0" w:space="0" w:color="auto"/>
            <w:right w:val="none" w:sz="0" w:space="0" w:color="auto"/>
          </w:divBdr>
        </w:div>
        <w:div w:id="637997092">
          <w:marLeft w:val="0"/>
          <w:marRight w:val="0"/>
          <w:marTop w:val="0"/>
          <w:marBottom w:val="225"/>
          <w:divBdr>
            <w:top w:val="none" w:sz="0" w:space="0" w:color="auto"/>
            <w:left w:val="none" w:sz="0" w:space="0" w:color="auto"/>
            <w:bottom w:val="none" w:sz="0" w:space="0" w:color="auto"/>
            <w:right w:val="none" w:sz="0" w:space="0" w:color="auto"/>
          </w:divBdr>
        </w:div>
        <w:div w:id="1234585433">
          <w:marLeft w:val="0"/>
          <w:marRight w:val="0"/>
          <w:marTop w:val="0"/>
          <w:marBottom w:val="225"/>
          <w:divBdr>
            <w:top w:val="none" w:sz="0" w:space="0" w:color="auto"/>
            <w:left w:val="none" w:sz="0" w:space="0" w:color="auto"/>
            <w:bottom w:val="none" w:sz="0" w:space="0" w:color="auto"/>
            <w:right w:val="none" w:sz="0" w:space="0" w:color="auto"/>
          </w:divBdr>
        </w:div>
        <w:div w:id="941760275">
          <w:marLeft w:val="0"/>
          <w:marRight w:val="0"/>
          <w:marTop w:val="0"/>
          <w:marBottom w:val="225"/>
          <w:divBdr>
            <w:top w:val="none" w:sz="0" w:space="0" w:color="auto"/>
            <w:left w:val="none" w:sz="0" w:space="0" w:color="auto"/>
            <w:bottom w:val="none" w:sz="0" w:space="0" w:color="auto"/>
            <w:right w:val="none" w:sz="0" w:space="0" w:color="auto"/>
          </w:divBdr>
        </w:div>
        <w:div w:id="671416692">
          <w:marLeft w:val="0"/>
          <w:marRight w:val="0"/>
          <w:marTop w:val="0"/>
          <w:marBottom w:val="225"/>
          <w:divBdr>
            <w:top w:val="none" w:sz="0" w:space="0" w:color="auto"/>
            <w:left w:val="none" w:sz="0" w:space="0" w:color="auto"/>
            <w:bottom w:val="none" w:sz="0" w:space="0" w:color="auto"/>
            <w:right w:val="none" w:sz="0" w:space="0" w:color="auto"/>
          </w:divBdr>
        </w:div>
        <w:div w:id="1170027279">
          <w:marLeft w:val="0"/>
          <w:marRight w:val="0"/>
          <w:marTop w:val="0"/>
          <w:marBottom w:val="225"/>
          <w:divBdr>
            <w:top w:val="none" w:sz="0" w:space="0" w:color="auto"/>
            <w:left w:val="none" w:sz="0" w:space="0" w:color="auto"/>
            <w:bottom w:val="none" w:sz="0" w:space="0" w:color="auto"/>
            <w:right w:val="none" w:sz="0" w:space="0" w:color="auto"/>
          </w:divBdr>
        </w:div>
        <w:div w:id="1680236093">
          <w:marLeft w:val="0"/>
          <w:marRight w:val="0"/>
          <w:marTop w:val="0"/>
          <w:marBottom w:val="225"/>
          <w:divBdr>
            <w:top w:val="none" w:sz="0" w:space="0" w:color="auto"/>
            <w:left w:val="none" w:sz="0" w:space="0" w:color="auto"/>
            <w:bottom w:val="none" w:sz="0" w:space="0" w:color="auto"/>
            <w:right w:val="none" w:sz="0" w:space="0" w:color="auto"/>
          </w:divBdr>
        </w:div>
      </w:divsChild>
    </w:div>
    <w:div w:id="1811626369">
      <w:bodyDiv w:val="1"/>
      <w:marLeft w:val="0"/>
      <w:marRight w:val="0"/>
      <w:marTop w:val="0"/>
      <w:marBottom w:val="0"/>
      <w:divBdr>
        <w:top w:val="none" w:sz="0" w:space="0" w:color="auto"/>
        <w:left w:val="none" w:sz="0" w:space="0" w:color="auto"/>
        <w:bottom w:val="none" w:sz="0" w:space="0" w:color="auto"/>
        <w:right w:val="none" w:sz="0" w:space="0" w:color="auto"/>
      </w:divBdr>
      <w:divsChild>
        <w:div w:id="1572036691">
          <w:marLeft w:val="0"/>
          <w:marRight w:val="0"/>
          <w:marTop w:val="0"/>
          <w:marBottom w:val="225"/>
          <w:divBdr>
            <w:top w:val="none" w:sz="0" w:space="0" w:color="auto"/>
            <w:left w:val="none" w:sz="0" w:space="0" w:color="auto"/>
            <w:bottom w:val="none" w:sz="0" w:space="0" w:color="auto"/>
            <w:right w:val="none" w:sz="0" w:space="0" w:color="auto"/>
          </w:divBdr>
        </w:div>
        <w:div w:id="1805387822">
          <w:marLeft w:val="0"/>
          <w:marRight w:val="0"/>
          <w:marTop w:val="0"/>
          <w:marBottom w:val="225"/>
          <w:divBdr>
            <w:top w:val="none" w:sz="0" w:space="0" w:color="auto"/>
            <w:left w:val="none" w:sz="0" w:space="0" w:color="auto"/>
            <w:bottom w:val="none" w:sz="0" w:space="0" w:color="auto"/>
            <w:right w:val="none" w:sz="0" w:space="0" w:color="auto"/>
          </w:divBdr>
        </w:div>
        <w:div w:id="1460340120">
          <w:marLeft w:val="0"/>
          <w:marRight w:val="0"/>
          <w:marTop w:val="0"/>
          <w:marBottom w:val="225"/>
          <w:divBdr>
            <w:top w:val="none" w:sz="0" w:space="0" w:color="auto"/>
            <w:left w:val="none" w:sz="0" w:space="0" w:color="auto"/>
            <w:bottom w:val="none" w:sz="0" w:space="0" w:color="auto"/>
            <w:right w:val="none" w:sz="0" w:space="0" w:color="auto"/>
          </w:divBdr>
        </w:div>
        <w:div w:id="862473410">
          <w:marLeft w:val="0"/>
          <w:marRight w:val="0"/>
          <w:marTop w:val="0"/>
          <w:marBottom w:val="225"/>
          <w:divBdr>
            <w:top w:val="none" w:sz="0" w:space="0" w:color="auto"/>
            <w:left w:val="none" w:sz="0" w:space="0" w:color="auto"/>
            <w:bottom w:val="none" w:sz="0" w:space="0" w:color="auto"/>
            <w:right w:val="none" w:sz="0" w:space="0" w:color="auto"/>
          </w:divBdr>
        </w:div>
        <w:div w:id="1241016641">
          <w:marLeft w:val="0"/>
          <w:marRight w:val="0"/>
          <w:marTop w:val="0"/>
          <w:marBottom w:val="225"/>
          <w:divBdr>
            <w:top w:val="none" w:sz="0" w:space="0" w:color="auto"/>
            <w:left w:val="none" w:sz="0" w:space="0" w:color="auto"/>
            <w:bottom w:val="none" w:sz="0" w:space="0" w:color="auto"/>
            <w:right w:val="none" w:sz="0" w:space="0" w:color="auto"/>
          </w:divBdr>
        </w:div>
        <w:div w:id="395667138">
          <w:marLeft w:val="0"/>
          <w:marRight w:val="0"/>
          <w:marTop w:val="0"/>
          <w:marBottom w:val="225"/>
          <w:divBdr>
            <w:top w:val="none" w:sz="0" w:space="0" w:color="auto"/>
            <w:left w:val="none" w:sz="0" w:space="0" w:color="auto"/>
            <w:bottom w:val="none" w:sz="0" w:space="0" w:color="auto"/>
            <w:right w:val="none" w:sz="0" w:space="0" w:color="auto"/>
          </w:divBdr>
        </w:div>
        <w:div w:id="1383598551">
          <w:marLeft w:val="0"/>
          <w:marRight w:val="0"/>
          <w:marTop w:val="0"/>
          <w:marBottom w:val="225"/>
          <w:divBdr>
            <w:top w:val="none" w:sz="0" w:space="0" w:color="auto"/>
            <w:left w:val="none" w:sz="0" w:space="0" w:color="auto"/>
            <w:bottom w:val="none" w:sz="0" w:space="0" w:color="auto"/>
            <w:right w:val="none" w:sz="0" w:space="0" w:color="auto"/>
          </w:divBdr>
        </w:div>
        <w:div w:id="398139112">
          <w:marLeft w:val="0"/>
          <w:marRight w:val="0"/>
          <w:marTop w:val="0"/>
          <w:marBottom w:val="225"/>
          <w:divBdr>
            <w:top w:val="none" w:sz="0" w:space="0" w:color="auto"/>
            <w:left w:val="none" w:sz="0" w:space="0" w:color="auto"/>
            <w:bottom w:val="none" w:sz="0" w:space="0" w:color="auto"/>
            <w:right w:val="none" w:sz="0" w:space="0" w:color="auto"/>
          </w:divBdr>
        </w:div>
        <w:div w:id="1115053950">
          <w:marLeft w:val="0"/>
          <w:marRight w:val="0"/>
          <w:marTop w:val="0"/>
          <w:marBottom w:val="225"/>
          <w:divBdr>
            <w:top w:val="none" w:sz="0" w:space="0" w:color="auto"/>
            <w:left w:val="none" w:sz="0" w:space="0" w:color="auto"/>
            <w:bottom w:val="none" w:sz="0" w:space="0" w:color="auto"/>
            <w:right w:val="none" w:sz="0" w:space="0" w:color="auto"/>
          </w:divBdr>
        </w:div>
        <w:div w:id="305135897">
          <w:marLeft w:val="0"/>
          <w:marRight w:val="0"/>
          <w:marTop w:val="0"/>
          <w:marBottom w:val="225"/>
          <w:divBdr>
            <w:top w:val="none" w:sz="0" w:space="0" w:color="auto"/>
            <w:left w:val="none" w:sz="0" w:space="0" w:color="auto"/>
            <w:bottom w:val="none" w:sz="0" w:space="0" w:color="auto"/>
            <w:right w:val="none" w:sz="0" w:space="0" w:color="auto"/>
          </w:divBdr>
        </w:div>
        <w:div w:id="308368398">
          <w:marLeft w:val="0"/>
          <w:marRight w:val="0"/>
          <w:marTop w:val="0"/>
          <w:marBottom w:val="225"/>
          <w:divBdr>
            <w:top w:val="none" w:sz="0" w:space="0" w:color="auto"/>
            <w:left w:val="none" w:sz="0" w:space="0" w:color="auto"/>
            <w:bottom w:val="none" w:sz="0" w:space="0" w:color="auto"/>
            <w:right w:val="none" w:sz="0" w:space="0" w:color="auto"/>
          </w:divBdr>
        </w:div>
        <w:div w:id="815489067">
          <w:marLeft w:val="0"/>
          <w:marRight w:val="0"/>
          <w:marTop w:val="0"/>
          <w:marBottom w:val="225"/>
          <w:divBdr>
            <w:top w:val="none" w:sz="0" w:space="0" w:color="auto"/>
            <w:left w:val="none" w:sz="0" w:space="0" w:color="auto"/>
            <w:bottom w:val="none" w:sz="0" w:space="0" w:color="auto"/>
            <w:right w:val="none" w:sz="0" w:space="0" w:color="auto"/>
          </w:divBdr>
        </w:div>
        <w:div w:id="1944341618">
          <w:marLeft w:val="0"/>
          <w:marRight w:val="0"/>
          <w:marTop w:val="0"/>
          <w:marBottom w:val="225"/>
          <w:divBdr>
            <w:top w:val="none" w:sz="0" w:space="0" w:color="auto"/>
            <w:left w:val="none" w:sz="0" w:space="0" w:color="auto"/>
            <w:bottom w:val="none" w:sz="0" w:space="0" w:color="auto"/>
            <w:right w:val="none" w:sz="0" w:space="0" w:color="auto"/>
          </w:divBdr>
        </w:div>
        <w:div w:id="1355957928">
          <w:marLeft w:val="0"/>
          <w:marRight w:val="0"/>
          <w:marTop w:val="0"/>
          <w:marBottom w:val="225"/>
          <w:divBdr>
            <w:top w:val="none" w:sz="0" w:space="0" w:color="auto"/>
            <w:left w:val="none" w:sz="0" w:space="0" w:color="auto"/>
            <w:bottom w:val="none" w:sz="0" w:space="0" w:color="auto"/>
            <w:right w:val="none" w:sz="0" w:space="0" w:color="auto"/>
          </w:divBdr>
        </w:div>
        <w:div w:id="932515455">
          <w:marLeft w:val="0"/>
          <w:marRight w:val="0"/>
          <w:marTop w:val="0"/>
          <w:marBottom w:val="225"/>
          <w:divBdr>
            <w:top w:val="none" w:sz="0" w:space="0" w:color="auto"/>
            <w:left w:val="none" w:sz="0" w:space="0" w:color="auto"/>
            <w:bottom w:val="none" w:sz="0" w:space="0" w:color="auto"/>
            <w:right w:val="none" w:sz="0" w:space="0" w:color="auto"/>
          </w:divBdr>
        </w:div>
        <w:div w:id="603420398">
          <w:marLeft w:val="0"/>
          <w:marRight w:val="0"/>
          <w:marTop w:val="0"/>
          <w:marBottom w:val="225"/>
          <w:divBdr>
            <w:top w:val="none" w:sz="0" w:space="0" w:color="auto"/>
            <w:left w:val="none" w:sz="0" w:space="0" w:color="auto"/>
            <w:bottom w:val="none" w:sz="0" w:space="0" w:color="auto"/>
            <w:right w:val="none" w:sz="0" w:space="0" w:color="auto"/>
          </w:divBdr>
        </w:div>
        <w:div w:id="887954533">
          <w:marLeft w:val="0"/>
          <w:marRight w:val="0"/>
          <w:marTop w:val="0"/>
          <w:marBottom w:val="225"/>
          <w:divBdr>
            <w:top w:val="none" w:sz="0" w:space="0" w:color="auto"/>
            <w:left w:val="none" w:sz="0" w:space="0" w:color="auto"/>
            <w:bottom w:val="none" w:sz="0" w:space="0" w:color="auto"/>
            <w:right w:val="none" w:sz="0" w:space="0" w:color="auto"/>
          </w:divBdr>
        </w:div>
        <w:div w:id="1606842406">
          <w:marLeft w:val="0"/>
          <w:marRight w:val="0"/>
          <w:marTop w:val="0"/>
          <w:marBottom w:val="225"/>
          <w:divBdr>
            <w:top w:val="none" w:sz="0" w:space="0" w:color="auto"/>
            <w:left w:val="none" w:sz="0" w:space="0" w:color="auto"/>
            <w:bottom w:val="none" w:sz="0" w:space="0" w:color="auto"/>
            <w:right w:val="none" w:sz="0" w:space="0" w:color="auto"/>
          </w:divBdr>
        </w:div>
        <w:div w:id="1789012351">
          <w:marLeft w:val="0"/>
          <w:marRight w:val="0"/>
          <w:marTop w:val="0"/>
          <w:marBottom w:val="225"/>
          <w:divBdr>
            <w:top w:val="none" w:sz="0" w:space="0" w:color="auto"/>
            <w:left w:val="none" w:sz="0" w:space="0" w:color="auto"/>
            <w:bottom w:val="none" w:sz="0" w:space="0" w:color="auto"/>
            <w:right w:val="none" w:sz="0" w:space="0" w:color="auto"/>
          </w:divBdr>
        </w:div>
        <w:div w:id="1873178695">
          <w:marLeft w:val="0"/>
          <w:marRight w:val="0"/>
          <w:marTop w:val="0"/>
          <w:marBottom w:val="225"/>
          <w:divBdr>
            <w:top w:val="none" w:sz="0" w:space="0" w:color="auto"/>
            <w:left w:val="none" w:sz="0" w:space="0" w:color="auto"/>
            <w:bottom w:val="none" w:sz="0" w:space="0" w:color="auto"/>
            <w:right w:val="none" w:sz="0" w:space="0" w:color="auto"/>
          </w:divBdr>
        </w:div>
        <w:div w:id="1804424085">
          <w:marLeft w:val="0"/>
          <w:marRight w:val="0"/>
          <w:marTop w:val="0"/>
          <w:marBottom w:val="225"/>
          <w:divBdr>
            <w:top w:val="none" w:sz="0" w:space="0" w:color="auto"/>
            <w:left w:val="none" w:sz="0" w:space="0" w:color="auto"/>
            <w:bottom w:val="none" w:sz="0" w:space="0" w:color="auto"/>
            <w:right w:val="none" w:sz="0" w:space="0" w:color="auto"/>
          </w:divBdr>
        </w:div>
        <w:div w:id="271597415">
          <w:marLeft w:val="0"/>
          <w:marRight w:val="0"/>
          <w:marTop w:val="0"/>
          <w:marBottom w:val="225"/>
          <w:divBdr>
            <w:top w:val="none" w:sz="0" w:space="0" w:color="auto"/>
            <w:left w:val="none" w:sz="0" w:space="0" w:color="auto"/>
            <w:bottom w:val="none" w:sz="0" w:space="0" w:color="auto"/>
            <w:right w:val="none" w:sz="0" w:space="0" w:color="auto"/>
          </w:divBdr>
        </w:div>
        <w:div w:id="2138253597">
          <w:marLeft w:val="0"/>
          <w:marRight w:val="0"/>
          <w:marTop w:val="0"/>
          <w:marBottom w:val="225"/>
          <w:divBdr>
            <w:top w:val="none" w:sz="0" w:space="0" w:color="auto"/>
            <w:left w:val="none" w:sz="0" w:space="0" w:color="auto"/>
            <w:bottom w:val="none" w:sz="0" w:space="0" w:color="auto"/>
            <w:right w:val="none" w:sz="0" w:space="0" w:color="auto"/>
          </w:divBdr>
        </w:div>
        <w:div w:id="1633557269">
          <w:marLeft w:val="0"/>
          <w:marRight w:val="0"/>
          <w:marTop w:val="0"/>
          <w:marBottom w:val="225"/>
          <w:divBdr>
            <w:top w:val="none" w:sz="0" w:space="0" w:color="auto"/>
            <w:left w:val="none" w:sz="0" w:space="0" w:color="auto"/>
            <w:bottom w:val="none" w:sz="0" w:space="0" w:color="auto"/>
            <w:right w:val="none" w:sz="0" w:space="0" w:color="auto"/>
          </w:divBdr>
        </w:div>
        <w:div w:id="2124837864">
          <w:marLeft w:val="0"/>
          <w:marRight w:val="0"/>
          <w:marTop w:val="0"/>
          <w:marBottom w:val="225"/>
          <w:divBdr>
            <w:top w:val="none" w:sz="0" w:space="0" w:color="auto"/>
            <w:left w:val="none" w:sz="0" w:space="0" w:color="auto"/>
            <w:bottom w:val="none" w:sz="0" w:space="0" w:color="auto"/>
            <w:right w:val="none" w:sz="0" w:space="0" w:color="auto"/>
          </w:divBdr>
        </w:div>
        <w:div w:id="918563501">
          <w:marLeft w:val="0"/>
          <w:marRight w:val="0"/>
          <w:marTop w:val="0"/>
          <w:marBottom w:val="225"/>
          <w:divBdr>
            <w:top w:val="none" w:sz="0" w:space="0" w:color="auto"/>
            <w:left w:val="none" w:sz="0" w:space="0" w:color="auto"/>
            <w:bottom w:val="none" w:sz="0" w:space="0" w:color="auto"/>
            <w:right w:val="none" w:sz="0" w:space="0" w:color="auto"/>
          </w:divBdr>
        </w:div>
        <w:div w:id="1098789194">
          <w:marLeft w:val="0"/>
          <w:marRight w:val="0"/>
          <w:marTop w:val="0"/>
          <w:marBottom w:val="225"/>
          <w:divBdr>
            <w:top w:val="none" w:sz="0" w:space="0" w:color="auto"/>
            <w:left w:val="none" w:sz="0" w:space="0" w:color="auto"/>
            <w:bottom w:val="none" w:sz="0" w:space="0" w:color="auto"/>
            <w:right w:val="none" w:sz="0" w:space="0" w:color="auto"/>
          </w:divBdr>
        </w:div>
        <w:div w:id="1823305538">
          <w:marLeft w:val="0"/>
          <w:marRight w:val="0"/>
          <w:marTop w:val="0"/>
          <w:marBottom w:val="225"/>
          <w:divBdr>
            <w:top w:val="none" w:sz="0" w:space="0" w:color="auto"/>
            <w:left w:val="none" w:sz="0" w:space="0" w:color="auto"/>
            <w:bottom w:val="none" w:sz="0" w:space="0" w:color="auto"/>
            <w:right w:val="none" w:sz="0" w:space="0" w:color="auto"/>
          </w:divBdr>
        </w:div>
        <w:div w:id="1594432745">
          <w:marLeft w:val="0"/>
          <w:marRight w:val="0"/>
          <w:marTop w:val="0"/>
          <w:marBottom w:val="225"/>
          <w:divBdr>
            <w:top w:val="none" w:sz="0" w:space="0" w:color="auto"/>
            <w:left w:val="none" w:sz="0" w:space="0" w:color="auto"/>
            <w:bottom w:val="none" w:sz="0" w:space="0" w:color="auto"/>
            <w:right w:val="none" w:sz="0" w:space="0" w:color="auto"/>
          </w:divBdr>
        </w:div>
        <w:div w:id="420300782">
          <w:marLeft w:val="0"/>
          <w:marRight w:val="0"/>
          <w:marTop w:val="0"/>
          <w:marBottom w:val="225"/>
          <w:divBdr>
            <w:top w:val="none" w:sz="0" w:space="0" w:color="auto"/>
            <w:left w:val="none" w:sz="0" w:space="0" w:color="auto"/>
            <w:bottom w:val="none" w:sz="0" w:space="0" w:color="auto"/>
            <w:right w:val="none" w:sz="0" w:space="0" w:color="auto"/>
          </w:divBdr>
        </w:div>
        <w:div w:id="515536369">
          <w:marLeft w:val="0"/>
          <w:marRight w:val="0"/>
          <w:marTop w:val="0"/>
          <w:marBottom w:val="225"/>
          <w:divBdr>
            <w:top w:val="none" w:sz="0" w:space="0" w:color="auto"/>
            <w:left w:val="none" w:sz="0" w:space="0" w:color="auto"/>
            <w:bottom w:val="none" w:sz="0" w:space="0" w:color="auto"/>
            <w:right w:val="none" w:sz="0" w:space="0" w:color="auto"/>
          </w:divBdr>
        </w:div>
        <w:div w:id="1372878073">
          <w:marLeft w:val="0"/>
          <w:marRight w:val="0"/>
          <w:marTop w:val="0"/>
          <w:marBottom w:val="225"/>
          <w:divBdr>
            <w:top w:val="none" w:sz="0" w:space="0" w:color="auto"/>
            <w:left w:val="none" w:sz="0" w:space="0" w:color="auto"/>
            <w:bottom w:val="none" w:sz="0" w:space="0" w:color="auto"/>
            <w:right w:val="none" w:sz="0" w:space="0" w:color="auto"/>
          </w:divBdr>
        </w:div>
        <w:div w:id="787894803">
          <w:marLeft w:val="0"/>
          <w:marRight w:val="0"/>
          <w:marTop w:val="0"/>
          <w:marBottom w:val="225"/>
          <w:divBdr>
            <w:top w:val="none" w:sz="0" w:space="0" w:color="auto"/>
            <w:left w:val="none" w:sz="0" w:space="0" w:color="auto"/>
            <w:bottom w:val="none" w:sz="0" w:space="0" w:color="auto"/>
            <w:right w:val="none" w:sz="0" w:space="0" w:color="auto"/>
          </w:divBdr>
        </w:div>
        <w:div w:id="1309628153">
          <w:marLeft w:val="0"/>
          <w:marRight w:val="0"/>
          <w:marTop w:val="0"/>
          <w:marBottom w:val="225"/>
          <w:divBdr>
            <w:top w:val="none" w:sz="0" w:space="0" w:color="auto"/>
            <w:left w:val="none" w:sz="0" w:space="0" w:color="auto"/>
            <w:bottom w:val="none" w:sz="0" w:space="0" w:color="auto"/>
            <w:right w:val="none" w:sz="0" w:space="0" w:color="auto"/>
          </w:divBdr>
        </w:div>
        <w:div w:id="843278332">
          <w:marLeft w:val="0"/>
          <w:marRight w:val="0"/>
          <w:marTop w:val="0"/>
          <w:marBottom w:val="225"/>
          <w:divBdr>
            <w:top w:val="none" w:sz="0" w:space="0" w:color="auto"/>
            <w:left w:val="none" w:sz="0" w:space="0" w:color="auto"/>
            <w:bottom w:val="none" w:sz="0" w:space="0" w:color="auto"/>
            <w:right w:val="none" w:sz="0" w:space="0" w:color="auto"/>
          </w:divBdr>
        </w:div>
        <w:div w:id="1186988934">
          <w:marLeft w:val="0"/>
          <w:marRight w:val="0"/>
          <w:marTop w:val="0"/>
          <w:marBottom w:val="225"/>
          <w:divBdr>
            <w:top w:val="none" w:sz="0" w:space="0" w:color="auto"/>
            <w:left w:val="none" w:sz="0" w:space="0" w:color="auto"/>
            <w:bottom w:val="none" w:sz="0" w:space="0" w:color="auto"/>
            <w:right w:val="none" w:sz="0" w:space="0" w:color="auto"/>
          </w:divBdr>
        </w:div>
        <w:div w:id="939796964">
          <w:marLeft w:val="0"/>
          <w:marRight w:val="0"/>
          <w:marTop w:val="0"/>
          <w:marBottom w:val="225"/>
          <w:divBdr>
            <w:top w:val="none" w:sz="0" w:space="0" w:color="auto"/>
            <w:left w:val="none" w:sz="0" w:space="0" w:color="auto"/>
            <w:bottom w:val="none" w:sz="0" w:space="0" w:color="auto"/>
            <w:right w:val="none" w:sz="0" w:space="0" w:color="auto"/>
          </w:divBdr>
        </w:div>
        <w:div w:id="712968779">
          <w:marLeft w:val="0"/>
          <w:marRight w:val="0"/>
          <w:marTop w:val="0"/>
          <w:marBottom w:val="225"/>
          <w:divBdr>
            <w:top w:val="none" w:sz="0" w:space="0" w:color="auto"/>
            <w:left w:val="none" w:sz="0" w:space="0" w:color="auto"/>
            <w:bottom w:val="none" w:sz="0" w:space="0" w:color="auto"/>
            <w:right w:val="none" w:sz="0" w:space="0" w:color="auto"/>
          </w:divBdr>
        </w:div>
        <w:div w:id="1868985698">
          <w:marLeft w:val="0"/>
          <w:marRight w:val="0"/>
          <w:marTop w:val="0"/>
          <w:marBottom w:val="225"/>
          <w:divBdr>
            <w:top w:val="none" w:sz="0" w:space="0" w:color="auto"/>
            <w:left w:val="none" w:sz="0" w:space="0" w:color="auto"/>
            <w:bottom w:val="none" w:sz="0" w:space="0" w:color="auto"/>
            <w:right w:val="none" w:sz="0" w:space="0" w:color="auto"/>
          </w:divBdr>
        </w:div>
        <w:div w:id="1727950007">
          <w:marLeft w:val="0"/>
          <w:marRight w:val="0"/>
          <w:marTop w:val="0"/>
          <w:marBottom w:val="225"/>
          <w:divBdr>
            <w:top w:val="none" w:sz="0" w:space="0" w:color="auto"/>
            <w:left w:val="none" w:sz="0" w:space="0" w:color="auto"/>
            <w:bottom w:val="none" w:sz="0" w:space="0" w:color="auto"/>
            <w:right w:val="none" w:sz="0" w:space="0" w:color="auto"/>
          </w:divBdr>
        </w:div>
        <w:div w:id="1171483130">
          <w:marLeft w:val="0"/>
          <w:marRight w:val="0"/>
          <w:marTop w:val="0"/>
          <w:marBottom w:val="225"/>
          <w:divBdr>
            <w:top w:val="none" w:sz="0" w:space="0" w:color="auto"/>
            <w:left w:val="none" w:sz="0" w:space="0" w:color="auto"/>
            <w:bottom w:val="none" w:sz="0" w:space="0" w:color="auto"/>
            <w:right w:val="none" w:sz="0" w:space="0" w:color="auto"/>
          </w:divBdr>
        </w:div>
        <w:div w:id="1031343172">
          <w:marLeft w:val="0"/>
          <w:marRight w:val="0"/>
          <w:marTop w:val="0"/>
          <w:marBottom w:val="225"/>
          <w:divBdr>
            <w:top w:val="none" w:sz="0" w:space="0" w:color="auto"/>
            <w:left w:val="none" w:sz="0" w:space="0" w:color="auto"/>
            <w:bottom w:val="none" w:sz="0" w:space="0" w:color="auto"/>
            <w:right w:val="none" w:sz="0" w:space="0" w:color="auto"/>
          </w:divBdr>
        </w:div>
        <w:div w:id="399598113">
          <w:marLeft w:val="0"/>
          <w:marRight w:val="0"/>
          <w:marTop w:val="0"/>
          <w:marBottom w:val="225"/>
          <w:divBdr>
            <w:top w:val="none" w:sz="0" w:space="0" w:color="auto"/>
            <w:left w:val="none" w:sz="0" w:space="0" w:color="auto"/>
            <w:bottom w:val="none" w:sz="0" w:space="0" w:color="auto"/>
            <w:right w:val="none" w:sz="0" w:space="0" w:color="auto"/>
          </w:divBdr>
        </w:div>
        <w:div w:id="572664805">
          <w:marLeft w:val="0"/>
          <w:marRight w:val="0"/>
          <w:marTop w:val="0"/>
          <w:marBottom w:val="225"/>
          <w:divBdr>
            <w:top w:val="none" w:sz="0" w:space="0" w:color="auto"/>
            <w:left w:val="none" w:sz="0" w:space="0" w:color="auto"/>
            <w:bottom w:val="none" w:sz="0" w:space="0" w:color="auto"/>
            <w:right w:val="none" w:sz="0" w:space="0" w:color="auto"/>
          </w:divBdr>
        </w:div>
        <w:div w:id="327709099">
          <w:marLeft w:val="0"/>
          <w:marRight w:val="0"/>
          <w:marTop w:val="0"/>
          <w:marBottom w:val="225"/>
          <w:divBdr>
            <w:top w:val="none" w:sz="0" w:space="0" w:color="auto"/>
            <w:left w:val="none" w:sz="0" w:space="0" w:color="auto"/>
            <w:bottom w:val="none" w:sz="0" w:space="0" w:color="auto"/>
            <w:right w:val="none" w:sz="0" w:space="0" w:color="auto"/>
          </w:divBdr>
        </w:div>
        <w:div w:id="1395156207">
          <w:marLeft w:val="0"/>
          <w:marRight w:val="0"/>
          <w:marTop w:val="0"/>
          <w:marBottom w:val="225"/>
          <w:divBdr>
            <w:top w:val="none" w:sz="0" w:space="0" w:color="auto"/>
            <w:left w:val="none" w:sz="0" w:space="0" w:color="auto"/>
            <w:bottom w:val="none" w:sz="0" w:space="0" w:color="auto"/>
            <w:right w:val="none" w:sz="0" w:space="0" w:color="auto"/>
          </w:divBdr>
        </w:div>
        <w:div w:id="1138644527">
          <w:marLeft w:val="0"/>
          <w:marRight w:val="0"/>
          <w:marTop w:val="0"/>
          <w:marBottom w:val="225"/>
          <w:divBdr>
            <w:top w:val="none" w:sz="0" w:space="0" w:color="auto"/>
            <w:left w:val="none" w:sz="0" w:space="0" w:color="auto"/>
            <w:bottom w:val="none" w:sz="0" w:space="0" w:color="auto"/>
            <w:right w:val="none" w:sz="0" w:space="0" w:color="auto"/>
          </w:divBdr>
        </w:div>
        <w:div w:id="1907647434">
          <w:marLeft w:val="0"/>
          <w:marRight w:val="0"/>
          <w:marTop w:val="0"/>
          <w:marBottom w:val="225"/>
          <w:divBdr>
            <w:top w:val="none" w:sz="0" w:space="0" w:color="auto"/>
            <w:left w:val="none" w:sz="0" w:space="0" w:color="auto"/>
            <w:bottom w:val="none" w:sz="0" w:space="0" w:color="auto"/>
            <w:right w:val="none" w:sz="0" w:space="0" w:color="auto"/>
          </w:divBdr>
        </w:div>
        <w:div w:id="1430269292">
          <w:marLeft w:val="0"/>
          <w:marRight w:val="0"/>
          <w:marTop w:val="0"/>
          <w:marBottom w:val="225"/>
          <w:divBdr>
            <w:top w:val="none" w:sz="0" w:space="0" w:color="auto"/>
            <w:left w:val="none" w:sz="0" w:space="0" w:color="auto"/>
            <w:bottom w:val="none" w:sz="0" w:space="0" w:color="auto"/>
            <w:right w:val="none" w:sz="0" w:space="0" w:color="auto"/>
          </w:divBdr>
        </w:div>
        <w:div w:id="443380278">
          <w:marLeft w:val="0"/>
          <w:marRight w:val="0"/>
          <w:marTop w:val="0"/>
          <w:marBottom w:val="225"/>
          <w:divBdr>
            <w:top w:val="none" w:sz="0" w:space="0" w:color="auto"/>
            <w:left w:val="none" w:sz="0" w:space="0" w:color="auto"/>
            <w:bottom w:val="none" w:sz="0" w:space="0" w:color="auto"/>
            <w:right w:val="none" w:sz="0" w:space="0" w:color="auto"/>
          </w:divBdr>
        </w:div>
        <w:div w:id="944309588">
          <w:marLeft w:val="0"/>
          <w:marRight w:val="0"/>
          <w:marTop w:val="0"/>
          <w:marBottom w:val="225"/>
          <w:divBdr>
            <w:top w:val="none" w:sz="0" w:space="0" w:color="auto"/>
            <w:left w:val="none" w:sz="0" w:space="0" w:color="auto"/>
            <w:bottom w:val="none" w:sz="0" w:space="0" w:color="auto"/>
            <w:right w:val="none" w:sz="0" w:space="0" w:color="auto"/>
          </w:divBdr>
        </w:div>
        <w:div w:id="1744835392">
          <w:marLeft w:val="0"/>
          <w:marRight w:val="0"/>
          <w:marTop w:val="0"/>
          <w:marBottom w:val="225"/>
          <w:divBdr>
            <w:top w:val="none" w:sz="0" w:space="0" w:color="auto"/>
            <w:left w:val="none" w:sz="0" w:space="0" w:color="auto"/>
            <w:bottom w:val="none" w:sz="0" w:space="0" w:color="auto"/>
            <w:right w:val="none" w:sz="0" w:space="0" w:color="auto"/>
          </w:divBdr>
        </w:div>
        <w:div w:id="465318167">
          <w:marLeft w:val="0"/>
          <w:marRight w:val="0"/>
          <w:marTop w:val="0"/>
          <w:marBottom w:val="225"/>
          <w:divBdr>
            <w:top w:val="none" w:sz="0" w:space="0" w:color="auto"/>
            <w:left w:val="none" w:sz="0" w:space="0" w:color="auto"/>
            <w:bottom w:val="none" w:sz="0" w:space="0" w:color="auto"/>
            <w:right w:val="none" w:sz="0" w:space="0" w:color="auto"/>
          </w:divBdr>
        </w:div>
        <w:div w:id="1510026160">
          <w:marLeft w:val="0"/>
          <w:marRight w:val="0"/>
          <w:marTop w:val="0"/>
          <w:marBottom w:val="225"/>
          <w:divBdr>
            <w:top w:val="none" w:sz="0" w:space="0" w:color="auto"/>
            <w:left w:val="none" w:sz="0" w:space="0" w:color="auto"/>
            <w:bottom w:val="none" w:sz="0" w:space="0" w:color="auto"/>
            <w:right w:val="none" w:sz="0" w:space="0" w:color="auto"/>
          </w:divBdr>
        </w:div>
        <w:div w:id="103695221">
          <w:marLeft w:val="0"/>
          <w:marRight w:val="0"/>
          <w:marTop w:val="0"/>
          <w:marBottom w:val="225"/>
          <w:divBdr>
            <w:top w:val="none" w:sz="0" w:space="0" w:color="auto"/>
            <w:left w:val="none" w:sz="0" w:space="0" w:color="auto"/>
            <w:bottom w:val="none" w:sz="0" w:space="0" w:color="auto"/>
            <w:right w:val="none" w:sz="0" w:space="0" w:color="auto"/>
          </w:divBdr>
        </w:div>
        <w:div w:id="1756172957">
          <w:marLeft w:val="0"/>
          <w:marRight w:val="0"/>
          <w:marTop w:val="0"/>
          <w:marBottom w:val="225"/>
          <w:divBdr>
            <w:top w:val="none" w:sz="0" w:space="0" w:color="auto"/>
            <w:left w:val="none" w:sz="0" w:space="0" w:color="auto"/>
            <w:bottom w:val="none" w:sz="0" w:space="0" w:color="auto"/>
            <w:right w:val="none" w:sz="0" w:space="0" w:color="auto"/>
          </w:divBdr>
        </w:div>
        <w:div w:id="493103608">
          <w:marLeft w:val="0"/>
          <w:marRight w:val="0"/>
          <w:marTop w:val="0"/>
          <w:marBottom w:val="225"/>
          <w:divBdr>
            <w:top w:val="none" w:sz="0" w:space="0" w:color="auto"/>
            <w:left w:val="none" w:sz="0" w:space="0" w:color="auto"/>
            <w:bottom w:val="none" w:sz="0" w:space="0" w:color="auto"/>
            <w:right w:val="none" w:sz="0" w:space="0" w:color="auto"/>
          </w:divBdr>
        </w:div>
        <w:div w:id="868449265">
          <w:marLeft w:val="0"/>
          <w:marRight w:val="0"/>
          <w:marTop w:val="0"/>
          <w:marBottom w:val="225"/>
          <w:divBdr>
            <w:top w:val="none" w:sz="0" w:space="0" w:color="auto"/>
            <w:left w:val="none" w:sz="0" w:space="0" w:color="auto"/>
            <w:bottom w:val="none" w:sz="0" w:space="0" w:color="auto"/>
            <w:right w:val="none" w:sz="0" w:space="0" w:color="auto"/>
          </w:divBdr>
        </w:div>
        <w:div w:id="1963607638">
          <w:marLeft w:val="0"/>
          <w:marRight w:val="0"/>
          <w:marTop w:val="0"/>
          <w:marBottom w:val="225"/>
          <w:divBdr>
            <w:top w:val="none" w:sz="0" w:space="0" w:color="auto"/>
            <w:left w:val="none" w:sz="0" w:space="0" w:color="auto"/>
            <w:bottom w:val="none" w:sz="0" w:space="0" w:color="auto"/>
            <w:right w:val="none" w:sz="0" w:space="0" w:color="auto"/>
          </w:divBdr>
        </w:div>
        <w:div w:id="1588347970">
          <w:marLeft w:val="0"/>
          <w:marRight w:val="0"/>
          <w:marTop w:val="0"/>
          <w:marBottom w:val="225"/>
          <w:divBdr>
            <w:top w:val="none" w:sz="0" w:space="0" w:color="auto"/>
            <w:left w:val="none" w:sz="0" w:space="0" w:color="auto"/>
            <w:bottom w:val="none" w:sz="0" w:space="0" w:color="auto"/>
            <w:right w:val="none" w:sz="0" w:space="0" w:color="auto"/>
          </w:divBdr>
        </w:div>
        <w:div w:id="1130588855">
          <w:marLeft w:val="0"/>
          <w:marRight w:val="0"/>
          <w:marTop w:val="0"/>
          <w:marBottom w:val="225"/>
          <w:divBdr>
            <w:top w:val="none" w:sz="0" w:space="0" w:color="auto"/>
            <w:left w:val="none" w:sz="0" w:space="0" w:color="auto"/>
            <w:bottom w:val="none" w:sz="0" w:space="0" w:color="auto"/>
            <w:right w:val="none" w:sz="0" w:space="0" w:color="auto"/>
          </w:divBdr>
        </w:div>
        <w:div w:id="374426541">
          <w:marLeft w:val="0"/>
          <w:marRight w:val="0"/>
          <w:marTop w:val="0"/>
          <w:marBottom w:val="225"/>
          <w:divBdr>
            <w:top w:val="none" w:sz="0" w:space="0" w:color="auto"/>
            <w:left w:val="none" w:sz="0" w:space="0" w:color="auto"/>
            <w:bottom w:val="none" w:sz="0" w:space="0" w:color="auto"/>
            <w:right w:val="none" w:sz="0" w:space="0" w:color="auto"/>
          </w:divBdr>
        </w:div>
        <w:div w:id="1347949368">
          <w:marLeft w:val="0"/>
          <w:marRight w:val="0"/>
          <w:marTop w:val="0"/>
          <w:marBottom w:val="225"/>
          <w:divBdr>
            <w:top w:val="none" w:sz="0" w:space="0" w:color="auto"/>
            <w:left w:val="none" w:sz="0" w:space="0" w:color="auto"/>
            <w:bottom w:val="none" w:sz="0" w:space="0" w:color="auto"/>
            <w:right w:val="none" w:sz="0" w:space="0" w:color="auto"/>
          </w:divBdr>
        </w:div>
        <w:div w:id="1639215179">
          <w:marLeft w:val="0"/>
          <w:marRight w:val="0"/>
          <w:marTop w:val="0"/>
          <w:marBottom w:val="225"/>
          <w:divBdr>
            <w:top w:val="none" w:sz="0" w:space="0" w:color="auto"/>
            <w:left w:val="none" w:sz="0" w:space="0" w:color="auto"/>
            <w:bottom w:val="none" w:sz="0" w:space="0" w:color="auto"/>
            <w:right w:val="none" w:sz="0" w:space="0" w:color="auto"/>
          </w:divBdr>
        </w:div>
        <w:div w:id="232594336">
          <w:marLeft w:val="0"/>
          <w:marRight w:val="0"/>
          <w:marTop w:val="0"/>
          <w:marBottom w:val="225"/>
          <w:divBdr>
            <w:top w:val="none" w:sz="0" w:space="0" w:color="auto"/>
            <w:left w:val="none" w:sz="0" w:space="0" w:color="auto"/>
            <w:bottom w:val="none" w:sz="0" w:space="0" w:color="auto"/>
            <w:right w:val="none" w:sz="0" w:space="0" w:color="auto"/>
          </w:divBdr>
        </w:div>
        <w:div w:id="1656298155">
          <w:marLeft w:val="0"/>
          <w:marRight w:val="0"/>
          <w:marTop w:val="0"/>
          <w:marBottom w:val="225"/>
          <w:divBdr>
            <w:top w:val="none" w:sz="0" w:space="0" w:color="auto"/>
            <w:left w:val="none" w:sz="0" w:space="0" w:color="auto"/>
            <w:bottom w:val="none" w:sz="0" w:space="0" w:color="auto"/>
            <w:right w:val="none" w:sz="0" w:space="0" w:color="auto"/>
          </w:divBdr>
        </w:div>
        <w:div w:id="474758923">
          <w:marLeft w:val="0"/>
          <w:marRight w:val="0"/>
          <w:marTop w:val="0"/>
          <w:marBottom w:val="225"/>
          <w:divBdr>
            <w:top w:val="none" w:sz="0" w:space="0" w:color="auto"/>
            <w:left w:val="none" w:sz="0" w:space="0" w:color="auto"/>
            <w:bottom w:val="none" w:sz="0" w:space="0" w:color="auto"/>
            <w:right w:val="none" w:sz="0" w:space="0" w:color="auto"/>
          </w:divBdr>
        </w:div>
        <w:div w:id="360594309">
          <w:marLeft w:val="0"/>
          <w:marRight w:val="0"/>
          <w:marTop w:val="0"/>
          <w:marBottom w:val="225"/>
          <w:divBdr>
            <w:top w:val="none" w:sz="0" w:space="0" w:color="auto"/>
            <w:left w:val="none" w:sz="0" w:space="0" w:color="auto"/>
            <w:bottom w:val="none" w:sz="0" w:space="0" w:color="auto"/>
            <w:right w:val="none" w:sz="0" w:space="0" w:color="auto"/>
          </w:divBdr>
        </w:div>
        <w:div w:id="1832988391">
          <w:marLeft w:val="0"/>
          <w:marRight w:val="0"/>
          <w:marTop w:val="0"/>
          <w:marBottom w:val="225"/>
          <w:divBdr>
            <w:top w:val="none" w:sz="0" w:space="0" w:color="auto"/>
            <w:left w:val="none" w:sz="0" w:space="0" w:color="auto"/>
            <w:bottom w:val="none" w:sz="0" w:space="0" w:color="auto"/>
            <w:right w:val="none" w:sz="0" w:space="0" w:color="auto"/>
          </w:divBdr>
        </w:div>
        <w:div w:id="1500927156">
          <w:marLeft w:val="0"/>
          <w:marRight w:val="0"/>
          <w:marTop w:val="0"/>
          <w:marBottom w:val="225"/>
          <w:divBdr>
            <w:top w:val="none" w:sz="0" w:space="0" w:color="auto"/>
            <w:left w:val="none" w:sz="0" w:space="0" w:color="auto"/>
            <w:bottom w:val="none" w:sz="0" w:space="0" w:color="auto"/>
            <w:right w:val="none" w:sz="0" w:space="0" w:color="auto"/>
          </w:divBdr>
        </w:div>
        <w:div w:id="585915850">
          <w:marLeft w:val="0"/>
          <w:marRight w:val="0"/>
          <w:marTop w:val="0"/>
          <w:marBottom w:val="225"/>
          <w:divBdr>
            <w:top w:val="none" w:sz="0" w:space="0" w:color="auto"/>
            <w:left w:val="none" w:sz="0" w:space="0" w:color="auto"/>
            <w:bottom w:val="none" w:sz="0" w:space="0" w:color="auto"/>
            <w:right w:val="none" w:sz="0" w:space="0" w:color="auto"/>
          </w:divBdr>
        </w:div>
        <w:div w:id="548615300">
          <w:marLeft w:val="0"/>
          <w:marRight w:val="0"/>
          <w:marTop w:val="0"/>
          <w:marBottom w:val="225"/>
          <w:divBdr>
            <w:top w:val="none" w:sz="0" w:space="0" w:color="auto"/>
            <w:left w:val="none" w:sz="0" w:space="0" w:color="auto"/>
            <w:bottom w:val="none" w:sz="0" w:space="0" w:color="auto"/>
            <w:right w:val="none" w:sz="0" w:space="0" w:color="auto"/>
          </w:divBdr>
        </w:div>
        <w:div w:id="843127484">
          <w:marLeft w:val="0"/>
          <w:marRight w:val="0"/>
          <w:marTop w:val="0"/>
          <w:marBottom w:val="225"/>
          <w:divBdr>
            <w:top w:val="none" w:sz="0" w:space="0" w:color="auto"/>
            <w:left w:val="none" w:sz="0" w:space="0" w:color="auto"/>
            <w:bottom w:val="none" w:sz="0" w:space="0" w:color="auto"/>
            <w:right w:val="none" w:sz="0" w:space="0" w:color="auto"/>
          </w:divBdr>
        </w:div>
        <w:div w:id="973096202">
          <w:marLeft w:val="0"/>
          <w:marRight w:val="0"/>
          <w:marTop w:val="0"/>
          <w:marBottom w:val="225"/>
          <w:divBdr>
            <w:top w:val="none" w:sz="0" w:space="0" w:color="auto"/>
            <w:left w:val="none" w:sz="0" w:space="0" w:color="auto"/>
            <w:bottom w:val="none" w:sz="0" w:space="0" w:color="auto"/>
            <w:right w:val="none" w:sz="0" w:space="0" w:color="auto"/>
          </w:divBdr>
        </w:div>
        <w:div w:id="760176871">
          <w:marLeft w:val="0"/>
          <w:marRight w:val="0"/>
          <w:marTop w:val="0"/>
          <w:marBottom w:val="225"/>
          <w:divBdr>
            <w:top w:val="none" w:sz="0" w:space="0" w:color="auto"/>
            <w:left w:val="none" w:sz="0" w:space="0" w:color="auto"/>
            <w:bottom w:val="none" w:sz="0" w:space="0" w:color="auto"/>
            <w:right w:val="none" w:sz="0" w:space="0" w:color="auto"/>
          </w:divBdr>
        </w:div>
        <w:div w:id="484662394">
          <w:marLeft w:val="0"/>
          <w:marRight w:val="0"/>
          <w:marTop w:val="0"/>
          <w:marBottom w:val="225"/>
          <w:divBdr>
            <w:top w:val="none" w:sz="0" w:space="0" w:color="auto"/>
            <w:left w:val="none" w:sz="0" w:space="0" w:color="auto"/>
            <w:bottom w:val="none" w:sz="0" w:space="0" w:color="auto"/>
            <w:right w:val="none" w:sz="0" w:space="0" w:color="auto"/>
          </w:divBdr>
        </w:div>
        <w:div w:id="1284269423">
          <w:marLeft w:val="0"/>
          <w:marRight w:val="0"/>
          <w:marTop w:val="0"/>
          <w:marBottom w:val="225"/>
          <w:divBdr>
            <w:top w:val="none" w:sz="0" w:space="0" w:color="auto"/>
            <w:left w:val="none" w:sz="0" w:space="0" w:color="auto"/>
            <w:bottom w:val="none" w:sz="0" w:space="0" w:color="auto"/>
            <w:right w:val="none" w:sz="0" w:space="0" w:color="auto"/>
          </w:divBdr>
        </w:div>
        <w:div w:id="1973629155">
          <w:marLeft w:val="0"/>
          <w:marRight w:val="0"/>
          <w:marTop w:val="0"/>
          <w:marBottom w:val="225"/>
          <w:divBdr>
            <w:top w:val="none" w:sz="0" w:space="0" w:color="auto"/>
            <w:left w:val="none" w:sz="0" w:space="0" w:color="auto"/>
            <w:bottom w:val="none" w:sz="0" w:space="0" w:color="auto"/>
            <w:right w:val="none" w:sz="0" w:space="0" w:color="auto"/>
          </w:divBdr>
        </w:div>
        <w:div w:id="231351489">
          <w:marLeft w:val="0"/>
          <w:marRight w:val="0"/>
          <w:marTop w:val="0"/>
          <w:marBottom w:val="225"/>
          <w:divBdr>
            <w:top w:val="none" w:sz="0" w:space="0" w:color="auto"/>
            <w:left w:val="none" w:sz="0" w:space="0" w:color="auto"/>
            <w:bottom w:val="none" w:sz="0" w:space="0" w:color="auto"/>
            <w:right w:val="none" w:sz="0" w:space="0" w:color="auto"/>
          </w:divBdr>
        </w:div>
        <w:div w:id="129789014">
          <w:marLeft w:val="0"/>
          <w:marRight w:val="0"/>
          <w:marTop w:val="0"/>
          <w:marBottom w:val="225"/>
          <w:divBdr>
            <w:top w:val="none" w:sz="0" w:space="0" w:color="auto"/>
            <w:left w:val="none" w:sz="0" w:space="0" w:color="auto"/>
            <w:bottom w:val="none" w:sz="0" w:space="0" w:color="auto"/>
            <w:right w:val="none" w:sz="0" w:space="0" w:color="auto"/>
          </w:divBdr>
        </w:div>
        <w:div w:id="1489129110">
          <w:marLeft w:val="0"/>
          <w:marRight w:val="0"/>
          <w:marTop w:val="0"/>
          <w:marBottom w:val="225"/>
          <w:divBdr>
            <w:top w:val="none" w:sz="0" w:space="0" w:color="auto"/>
            <w:left w:val="none" w:sz="0" w:space="0" w:color="auto"/>
            <w:bottom w:val="none" w:sz="0" w:space="0" w:color="auto"/>
            <w:right w:val="none" w:sz="0" w:space="0" w:color="auto"/>
          </w:divBdr>
        </w:div>
        <w:div w:id="1629437033">
          <w:marLeft w:val="0"/>
          <w:marRight w:val="0"/>
          <w:marTop w:val="0"/>
          <w:marBottom w:val="225"/>
          <w:divBdr>
            <w:top w:val="none" w:sz="0" w:space="0" w:color="auto"/>
            <w:left w:val="none" w:sz="0" w:space="0" w:color="auto"/>
            <w:bottom w:val="none" w:sz="0" w:space="0" w:color="auto"/>
            <w:right w:val="none" w:sz="0" w:space="0" w:color="auto"/>
          </w:divBdr>
        </w:div>
        <w:div w:id="496850362">
          <w:marLeft w:val="0"/>
          <w:marRight w:val="0"/>
          <w:marTop w:val="0"/>
          <w:marBottom w:val="225"/>
          <w:divBdr>
            <w:top w:val="none" w:sz="0" w:space="0" w:color="auto"/>
            <w:left w:val="none" w:sz="0" w:space="0" w:color="auto"/>
            <w:bottom w:val="none" w:sz="0" w:space="0" w:color="auto"/>
            <w:right w:val="none" w:sz="0" w:space="0" w:color="auto"/>
          </w:divBdr>
        </w:div>
        <w:div w:id="1547839780">
          <w:marLeft w:val="0"/>
          <w:marRight w:val="0"/>
          <w:marTop w:val="0"/>
          <w:marBottom w:val="225"/>
          <w:divBdr>
            <w:top w:val="none" w:sz="0" w:space="0" w:color="auto"/>
            <w:left w:val="none" w:sz="0" w:space="0" w:color="auto"/>
            <w:bottom w:val="none" w:sz="0" w:space="0" w:color="auto"/>
            <w:right w:val="none" w:sz="0" w:space="0" w:color="auto"/>
          </w:divBdr>
        </w:div>
        <w:div w:id="1764911487">
          <w:marLeft w:val="0"/>
          <w:marRight w:val="0"/>
          <w:marTop w:val="0"/>
          <w:marBottom w:val="225"/>
          <w:divBdr>
            <w:top w:val="none" w:sz="0" w:space="0" w:color="auto"/>
            <w:left w:val="none" w:sz="0" w:space="0" w:color="auto"/>
            <w:bottom w:val="none" w:sz="0" w:space="0" w:color="auto"/>
            <w:right w:val="none" w:sz="0" w:space="0" w:color="auto"/>
          </w:divBdr>
        </w:div>
        <w:div w:id="1390887026">
          <w:marLeft w:val="0"/>
          <w:marRight w:val="0"/>
          <w:marTop w:val="0"/>
          <w:marBottom w:val="225"/>
          <w:divBdr>
            <w:top w:val="none" w:sz="0" w:space="0" w:color="auto"/>
            <w:left w:val="none" w:sz="0" w:space="0" w:color="auto"/>
            <w:bottom w:val="none" w:sz="0" w:space="0" w:color="auto"/>
            <w:right w:val="none" w:sz="0" w:space="0" w:color="auto"/>
          </w:divBdr>
        </w:div>
        <w:div w:id="1608074562">
          <w:marLeft w:val="0"/>
          <w:marRight w:val="0"/>
          <w:marTop w:val="0"/>
          <w:marBottom w:val="225"/>
          <w:divBdr>
            <w:top w:val="none" w:sz="0" w:space="0" w:color="auto"/>
            <w:left w:val="none" w:sz="0" w:space="0" w:color="auto"/>
            <w:bottom w:val="none" w:sz="0" w:space="0" w:color="auto"/>
            <w:right w:val="none" w:sz="0" w:space="0" w:color="auto"/>
          </w:divBdr>
        </w:div>
        <w:div w:id="478301568">
          <w:marLeft w:val="0"/>
          <w:marRight w:val="0"/>
          <w:marTop w:val="0"/>
          <w:marBottom w:val="225"/>
          <w:divBdr>
            <w:top w:val="none" w:sz="0" w:space="0" w:color="auto"/>
            <w:left w:val="none" w:sz="0" w:space="0" w:color="auto"/>
            <w:bottom w:val="none" w:sz="0" w:space="0" w:color="auto"/>
            <w:right w:val="none" w:sz="0" w:space="0" w:color="auto"/>
          </w:divBdr>
        </w:div>
        <w:div w:id="1230966102">
          <w:marLeft w:val="0"/>
          <w:marRight w:val="0"/>
          <w:marTop w:val="0"/>
          <w:marBottom w:val="225"/>
          <w:divBdr>
            <w:top w:val="none" w:sz="0" w:space="0" w:color="auto"/>
            <w:left w:val="none" w:sz="0" w:space="0" w:color="auto"/>
            <w:bottom w:val="none" w:sz="0" w:space="0" w:color="auto"/>
            <w:right w:val="none" w:sz="0" w:space="0" w:color="auto"/>
          </w:divBdr>
        </w:div>
        <w:div w:id="416484555">
          <w:marLeft w:val="0"/>
          <w:marRight w:val="0"/>
          <w:marTop w:val="0"/>
          <w:marBottom w:val="225"/>
          <w:divBdr>
            <w:top w:val="none" w:sz="0" w:space="0" w:color="auto"/>
            <w:left w:val="none" w:sz="0" w:space="0" w:color="auto"/>
            <w:bottom w:val="none" w:sz="0" w:space="0" w:color="auto"/>
            <w:right w:val="none" w:sz="0" w:space="0" w:color="auto"/>
          </w:divBdr>
        </w:div>
        <w:div w:id="1195775553">
          <w:marLeft w:val="0"/>
          <w:marRight w:val="0"/>
          <w:marTop w:val="0"/>
          <w:marBottom w:val="225"/>
          <w:divBdr>
            <w:top w:val="none" w:sz="0" w:space="0" w:color="auto"/>
            <w:left w:val="none" w:sz="0" w:space="0" w:color="auto"/>
            <w:bottom w:val="none" w:sz="0" w:space="0" w:color="auto"/>
            <w:right w:val="none" w:sz="0" w:space="0" w:color="auto"/>
          </w:divBdr>
        </w:div>
        <w:div w:id="1174995928">
          <w:marLeft w:val="0"/>
          <w:marRight w:val="0"/>
          <w:marTop w:val="0"/>
          <w:marBottom w:val="225"/>
          <w:divBdr>
            <w:top w:val="none" w:sz="0" w:space="0" w:color="auto"/>
            <w:left w:val="none" w:sz="0" w:space="0" w:color="auto"/>
            <w:bottom w:val="none" w:sz="0" w:space="0" w:color="auto"/>
            <w:right w:val="none" w:sz="0" w:space="0" w:color="auto"/>
          </w:divBdr>
        </w:div>
        <w:div w:id="1968774228">
          <w:marLeft w:val="0"/>
          <w:marRight w:val="0"/>
          <w:marTop w:val="0"/>
          <w:marBottom w:val="225"/>
          <w:divBdr>
            <w:top w:val="none" w:sz="0" w:space="0" w:color="auto"/>
            <w:left w:val="none" w:sz="0" w:space="0" w:color="auto"/>
            <w:bottom w:val="none" w:sz="0" w:space="0" w:color="auto"/>
            <w:right w:val="none" w:sz="0" w:space="0" w:color="auto"/>
          </w:divBdr>
        </w:div>
        <w:div w:id="1649627584">
          <w:marLeft w:val="0"/>
          <w:marRight w:val="0"/>
          <w:marTop w:val="0"/>
          <w:marBottom w:val="225"/>
          <w:divBdr>
            <w:top w:val="none" w:sz="0" w:space="0" w:color="auto"/>
            <w:left w:val="none" w:sz="0" w:space="0" w:color="auto"/>
            <w:bottom w:val="none" w:sz="0" w:space="0" w:color="auto"/>
            <w:right w:val="none" w:sz="0" w:space="0" w:color="auto"/>
          </w:divBdr>
        </w:div>
        <w:div w:id="1528104189">
          <w:marLeft w:val="0"/>
          <w:marRight w:val="0"/>
          <w:marTop w:val="0"/>
          <w:marBottom w:val="225"/>
          <w:divBdr>
            <w:top w:val="none" w:sz="0" w:space="0" w:color="auto"/>
            <w:left w:val="none" w:sz="0" w:space="0" w:color="auto"/>
            <w:bottom w:val="none" w:sz="0" w:space="0" w:color="auto"/>
            <w:right w:val="none" w:sz="0" w:space="0" w:color="auto"/>
          </w:divBdr>
        </w:div>
        <w:div w:id="1759324612">
          <w:marLeft w:val="0"/>
          <w:marRight w:val="0"/>
          <w:marTop w:val="0"/>
          <w:marBottom w:val="225"/>
          <w:divBdr>
            <w:top w:val="none" w:sz="0" w:space="0" w:color="auto"/>
            <w:left w:val="none" w:sz="0" w:space="0" w:color="auto"/>
            <w:bottom w:val="none" w:sz="0" w:space="0" w:color="auto"/>
            <w:right w:val="none" w:sz="0" w:space="0" w:color="auto"/>
          </w:divBdr>
        </w:div>
        <w:div w:id="1675648034">
          <w:marLeft w:val="0"/>
          <w:marRight w:val="0"/>
          <w:marTop w:val="0"/>
          <w:marBottom w:val="225"/>
          <w:divBdr>
            <w:top w:val="none" w:sz="0" w:space="0" w:color="auto"/>
            <w:left w:val="none" w:sz="0" w:space="0" w:color="auto"/>
            <w:bottom w:val="none" w:sz="0" w:space="0" w:color="auto"/>
            <w:right w:val="none" w:sz="0" w:space="0" w:color="auto"/>
          </w:divBdr>
        </w:div>
        <w:div w:id="822307664">
          <w:marLeft w:val="0"/>
          <w:marRight w:val="0"/>
          <w:marTop w:val="0"/>
          <w:marBottom w:val="225"/>
          <w:divBdr>
            <w:top w:val="none" w:sz="0" w:space="0" w:color="auto"/>
            <w:left w:val="none" w:sz="0" w:space="0" w:color="auto"/>
            <w:bottom w:val="none" w:sz="0" w:space="0" w:color="auto"/>
            <w:right w:val="none" w:sz="0" w:space="0" w:color="auto"/>
          </w:divBdr>
        </w:div>
        <w:div w:id="2061632175">
          <w:marLeft w:val="0"/>
          <w:marRight w:val="0"/>
          <w:marTop w:val="0"/>
          <w:marBottom w:val="225"/>
          <w:divBdr>
            <w:top w:val="none" w:sz="0" w:space="0" w:color="auto"/>
            <w:left w:val="none" w:sz="0" w:space="0" w:color="auto"/>
            <w:bottom w:val="none" w:sz="0" w:space="0" w:color="auto"/>
            <w:right w:val="none" w:sz="0" w:space="0" w:color="auto"/>
          </w:divBdr>
        </w:div>
        <w:div w:id="1928998899">
          <w:marLeft w:val="0"/>
          <w:marRight w:val="0"/>
          <w:marTop w:val="0"/>
          <w:marBottom w:val="225"/>
          <w:divBdr>
            <w:top w:val="none" w:sz="0" w:space="0" w:color="auto"/>
            <w:left w:val="none" w:sz="0" w:space="0" w:color="auto"/>
            <w:bottom w:val="none" w:sz="0" w:space="0" w:color="auto"/>
            <w:right w:val="none" w:sz="0" w:space="0" w:color="auto"/>
          </w:divBdr>
        </w:div>
        <w:div w:id="160200852">
          <w:marLeft w:val="0"/>
          <w:marRight w:val="0"/>
          <w:marTop w:val="0"/>
          <w:marBottom w:val="225"/>
          <w:divBdr>
            <w:top w:val="none" w:sz="0" w:space="0" w:color="auto"/>
            <w:left w:val="none" w:sz="0" w:space="0" w:color="auto"/>
            <w:bottom w:val="none" w:sz="0" w:space="0" w:color="auto"/>
            <w:right w:val="none" w:sz="0" w:space="0" w:color="auto"/>
          </w:divBdr>
        </w:div>
        <w:div w:id="1910191247">
          <w:marLeft w:val="0"/>
          <w:marRight w:val="0"/>
          <w:marTop w:val="0"/>
          <w:marBottom w:val="225"/>
          <w:divBdr>
            <w:top w:val="none" w:sz="0" w:space="0" w:color="auto"/>
            <w:left w:val="none" w:sz="0" w:space="0" w:color="auto"/>
            <w:bottom w:val="none" w:sz="0" w:space="0" w:color="auto"/>
            <w:right w:val="none" w:sz="0" w:space="0" w:color="auto"/>
          </w:divBdr>
        </w:div>
        <w:div w:id="1776823030">
          <w:marLeft w:val="0"/>
          <w:marRight w:val="0"/>
          <w:marTop w:val="0"/>
          <w:marBottom w:val="225"/>
          <w:divBdr>
            <w:top w:val="none" w:sz="0" w:space="0" w:color="auto"/>
            <w:left w:val="none" w:sz="0" w:space="0" w:color="auto"/>
            <w:bottom w:val="none" w:sz="0" w:space="0" w:color="auto"/>
            <w:right w:val="none" w:sz="0" w:space="0" w:color="auto"/>
          </w:divBdr>
        </w:div>
        <w:div w:id="731126071">
          <w:marLeft w:val="0"/>
          <w:marRight w:val="0"/>
          <w:marTop w:val="0"/>
          <w:marBottom w:val="225"/>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oleObject" Target="embeddings/oleObject4.bin"/><Relationship Id="rId39" Type="http://schemas.openxmlformats.org/officeDocument/2006/relationships/image" Target="media/image14.png"/><Relationship Id="rId21" Type="http://schemas.openxmlformats.org/officeDocument/2006/relationships/image" Target="media/image8.wmf"/><Relationship Id="rId34" Type="http://schemas.openxmlformats.org/officeDocument/2006/relationships/oleObject" Target="embeddings/oleObject9.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oleObject1.bin"/><Relationship Id="rId29" Type="http://schemas.openxmlformats.org/officeDocument/2006/relationships/image" Target="media/image12.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oleObject" Target="embeddings/oleObject5.bin"/><Relationship Id="rId36" Type="http://schemas.openxmlformats.org/officeDocument/2006/relationships/oleObject" Target="embeddings/oleObject11.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oleObject" Target="embeddings/oleObject2.bin"/><Relationship Id="rId27" Type="http://schemas.openxmlformats.org/officeDocument/2006/relationships/image" Target="media/image11.wmf"/><Relationship Id="rId30" Type="http://schemas.openxmlformats.org/officeDocument/2006/relationships/oleObject" Target="embeddings/oleObject6.bin"/><Relationship Id="rId35" Type="http://schemas.openxmlformats.org/officeDocument/2006/relationships/oleObject" Target="embeddings/oleObject1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wmf"/><Relationship Id="rId33" Type="http://schemas.openxmlformats.org/officeDocument/2006/relationships/oleObject" Target="embeddings/oleObject8.bin"/><Relationship Id="rId38" Type="http://schemas.openxmlformats.org/officeDocument/2006/relationships/oleObject" Target="embeddings/oleObject1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50D4EA-2D81-42FB-929F-B54401461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17</Pages>
  <Words>5707</Words>
  <Characters>6051</Characters>
  <Application>Microsoft Office Word</Application>
  <DocSecurity>0</DocSecurity>
  <Lines>242</Lines>
  <Paragraphs>186</Paragraphs>
  <ScaleCrop>false</ScaleCrop>
  <Company>WWW.YlmF.CoM</Company>
  <LinksUpToDate>false</LinksUpToDate>
  <CharactersWithSpaces>11572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《聚氨酯合成革  节能环保技术要求》</dc:title>
  <dc:creator>user</dc:creator>
  <cp:lastModifiedBy>吕明环</cp:lastModifiedBy>
  <cp:revision>4</cp:revision>
  <cp:lastPrinted>2018-05-23T02:12:00Z</cp:lastPrinted>
  <dcterms:created xsi:type="dcterms:W3CDTF">2025-09-15T02:51:00Z</dcterms:created>
  <dcterms:modified xsi:type="dcterms:W3CDTF">2025-09-16T07:32:00Z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EDC647435309479696A3A310FE989DE9</vt:lpwstr>
  </property>
  <property fmtid="{D5CDD505-2E9C-101B-9397-08002B2CF9AE}" pid="4" name="MTWinEqns">
    <vt:bool>true</vt:bool>
  </property>
  <property fmtid="{D5CDD505-2E9C-101B-9397-08002B2CF9AE}" pid="5" name="MTEquationSection">
    <vt:lpwstr>1</vt:lpwstr>
  </property>
  <property fmtid="{D5CDD505-2E9C-101B-9397-08002B2CF9AE}" pid="6" name="MTEquationNumber2">
    <vt:lpwstr>(#E1)</vt:lpwstr>
  </property>
</Properties>
</file>